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DBC86" w14:textId="5F487BA8" w:rsidR="00EC1EB9" w:rsidRDefault="00361A81" w:rsidP="00361A81">
      <w:pPr>
        <w:spacing w:line="360" w:lineRule="auto"/>
        <w:jc w:val="center"/>
        <w:rPr>
          <w:rFonts w:ascii="David" w:hAnsi="David" w:cs="David"/>
          <w:b/>
          <w:bCs/>
          <w:sz w:val="28"/>
          <w:szCs w:val="28"/>
          <w:u w:val="single"/>
          <w:rtl/>
        </w:rPr>
      </w:pPr>
      <w:r w:rsidRPr="00361A81">
        <w:rPr>
          <w:rFonts w:ascii="David" w:hAnsi="David" w:cs="David"/>
          <w:b/>
          <w:bCs/>
          <w:sz w:val="28"/>
          <w:szCs w:val="28"/>
          <w:u w:val="single"/>
          <w:rtl/>
        </w:rPr>
        <w:t xml:space="preserve">הודעה פומבית בדבר כוונת המדינה למכור את </w:t>
      </w:r>
      <w:proofErr w:type="spellStart"/>
      <w:r w:rsidRPr="00361A81">
        <w:rPr>
          <w:rFonts w:ascii="David" w:hAnsi="David" w:cs="David"/>
          <w:b/>
          <w:bCs/>
          <w:sz w:val="28"/>
          <w:szCs w:val="28"/>
          <w:u w:val="single"/>
          <w:rtl/>
        </w:rPr>
        <w:t>החזקותיה</w:t>
      </w:r>
      <w:proofErr w:type="spellEnd"/>
      <w:r w:rsidRPr="00361A81">
        <w:rPr>
          <w:rFonts w:ascii="David" w:hAnsi="David" w:cs="David"/>
          <w:b/>
          <w:bCs/>
          <w:sz w:val="28"/>
          <w:szCs w:val="28"/>
          <w:u w:val="single"/>
          <w:rtl/>
        </w:rPr>
        <w:t xml:space="preserve"> בחברות הממשלתיות "בניין הבימה בע"מ" ו"אולם נחמני 4 בע"מ" לידי עיריית תל אביב-יפו</w:t>
      </w:r>
    </w:p>
    <w:p w14:paraId="11CC304B" w14:textId="3713B0DA" w:rsidR="00361A81" w:rsidRDefault="009E61E0" w:rsidP="009061AD">
      <w:pPr>
        <w:spacing w:line="360" w:lineRule="auto"/>
        <w:jc w:val="both"/>
        <w:rPr>
          <w:rFonts w:ascii="David" w:hAnsi="David" w:cs="David"/>
          <w:sz w:val="24"/>
          <w:szCs w:val="24"/>
          <w:rtl/>
        </w:rPr>
      </w:pPr>
      <w:r>
        <w:rPr>
          <w:rFonts w:ascii="David" w:hAnsi="David" w:cs="David" w:hint="cs"/>
          <w:sz w:val="24"/>
          <w:szCs w:val="24"/>
          <w:rtl/>
        </w:rPr>
        <w:t xml:space="preserve">מתפרסמת בזאת, בהתאם להחלטת הוועדה למכירת מניות המדינה מיום </w:t>
      </w:r>
      <w:r w:rsidR="006C1C97">
        <w:rPr>
          <w:rFonts w:ascii="David" w:hAnsi="David" w:cs="David" w:hint="cs"/>
          <w:sz w:val="24"/>
          <w:szCs w:val="24"/>
          <w:rtl/>
        </w:rPr>
        <w:t>28.1.2026,</w:t>
      </w:r>
      <w:r w:rsidR="00A7194A">
        <w:rPr>
          <w:rFonts w:ascii="David" w:hAnsi="David" w:cs="David" w:hint="cs"/>
          <w:sz w:val="24"/>
          <w:szCs w:val="24"/>
          <w:rtl/>
        </w:rPr>
        <w:t xml:space="preserve"> </w:t>
      </w:r>
      <w:r w:rsidR="00361A81" w:rsidRPr="00361A81">
        <w:rPr>
          <w:rFonts w:ascii="David" w:hAnsi="David" w:cs="David"/>
          <w:sz w:val="24"/>
          <w:szCs w:val="24"/>
          <w:rtl/>
        </w:rPr>
        <w:t xml:space="preserve">כוונת מדינת ישראל למכור את כל </w:t>
      </w:r>
      <w:proofErr w:type="spellStart"/>
      <w:r w:rsidR="00361A81" w:rsidRPr="00361A81">
        <w:rPr>
          <w:rFonts w:ascii="David" w:hAnsi="David" w:cs="David"/>
          <w:sz w:val="24"/>
          <w:szCs w:val="24"/>
          <w:rtl/>
        </w:rPr>
        <w:t>החזקותיה</w:t>
      </w:r>
      <w:proofErr w:type="spellEnd"/>
      <w:r w:rsidR="00DE6A18">
        <w:rPr>
          <w:rFonts w:ascii="David" w:hAnsi="David" w:cs="David" w:hint="cs"/>
          <w:sz w:val="24"/>
          <w:szCs w:val="24"/>
          <w:rtl/>
        </w:rPr>
        <w:t xml:space="preserve"> של המדינה</w:t>
      </w:r>
      <w:r w:rsidR="00361A81" w:rsidRPr="00361A81">
        <w:rPr>
          <w:rFonts w:ascii="David" w:hAnsi="David" w:cs="David"/>
          <w:sz w:val="24"/>
          <w:szCs w:val="24"/>
          <w:rtl/>
        </w:rPr>
        <w:t xml:space="preserve"> בחברת בנין הבימה בע"מ ובחברת אולם נחמני 4 בע"מ ("</w:t>
      </w:r>
      <w:r w:rsidR="00361A81" w:rsidRPr="00361A81">
        <w:rPr>
          <w:rFonts w:ascii="David" w:hAnsi="David" w:cs="David"/>
          <w:b/>
          <w:bCs/>
          <w:sz w:val="24"/>
          <w:szCs w:val="24"/>
          <w:rtl/>
        </w:rPr>
        <w:t>החברות</w:t>
      </w:r>
      <w:r w:rsidR="00361A81" w:rsidRPr="00361A81">
        <w:rPr>
          <w:rFonts w:ascii="David" w:hAnsi="David" w:cs="David"/>
          <w:sz w:val="24"/>
          <w:szCs w:val="24"/>
          <w:rtl/>
        </w:rPr>
        <w:t>"), לידי עיריית תל אביב-יפו ("</w:t>
      </w:r>
      <w:r w:rsidR="00361A81" w:rsidRPr="00361A81">
        <w:rPr>
          <w:rFonts w:ascii="David" w:hAnsi="David" w:cs="David"/>
          <w:b/>
          <w:bCs/>
          <w:sz w:val="24"/>
          <w:szCs w:val="24"/>
          <w:rtl/>
        </w:rPr>
        <w:t>העירייה</w:t>
      </w:r>
      <w:r w:rsidR="00361A81" w:rsidRPr="00361A81">
        <w:rPr>
          <w:rFonts w:ascii="David" w:hAnsi="David" w:cs="David"/>
          <w:sz w:val="24"/>
          <w:szCs w:val="24"/>
          <w:rtl/>
        </w:rPr>
        <w:t>") או לתאגיד עירוני שבשליטתה המלאה, בפטור ממכרז לפי תקנה 3(14) לתקנות חובת המכרזים, התשנ"ג-1993 ("</w:t>
      </w:r>
      <w:r w:rsidR="00361A81" w:rsidRPr="00361A81">
        <w:rPr>
          <w:rFonts w:ascii="David" w:hAnsi="David" w:cs="David"/>
          <w:b/>
          <w:bCs/>
          <w:sz w:val="24"/>
          <w:szCs w:val="24"/>
          <w:rtl/>
        </w:rPr>
        <w:t>תקנות חובת המכרזים</w:t>
      </w:r>
      <w:r w:rsidR="00361A81" w:rsidRPr="00361A81">
        <w:rPr>
          <w:rFonts w:ascii="David" w:hAnsi="David" w:cs="David"/>
          <w:sz w:val="24"/>
          <w:szCs w:val="24"/>
          <w:rtl/>
        </w:rPr>
        <w:t>")</w:t>
      </w:r>
      <w:r w:rsidR="000B61AE">
        <w:rPr>
          <w:rFonts w:ascii="David" w:hAnsi="David" w:cs="David" w:hint="cs"/>
          <w:sz w:val="24"/>
          <w:szCs w:val="24"/>
          <w:rtl/>
        </w:rPr>
        <w:t>, בהמשך להחלטות</w:t>
      </w:r>
      <w:r w:rsidR="0070333D">
        <w:rPr>
          <w:rFonts w:ascii="David" w:hAnsi="David" w:cs="David" w:hint="cs"/>
          <w:sz w:val="24"/>
          <w:szCs w:val="24"/>
          <w:rtl/>
        </w:rPr>
        <w:t xml:space="preserve"> הבאות של</w:t>
      </w:r>
      <w:r w:rsidR="000B61AE">
        <w:rPr>
          <w:rFonts w:ascii="David" w:hAnsi="David" w:cs="David" w:hint="cs"/>
          <w:sz w:val="24"/>
          <w:szCs w:val="24"/>
          <w:rtl/>
        </w:rPr>
        <w:t xml:space="preserve"> </w:t>
      </w:r>
      <w:r w:rsidR="0070333D">
        <w:rPr>
          <w:rFonts w:ascii="David" w:hAnsi="David" w:cs="David" w:hint="cs"/>
          <w:sz w:val="24"/>
          <w:szCs w:val="24"/>
          <w:rtl/>
        </w:rPr>
        <w:t xml:space="preserve">ועדת שרים לענייני הפרטה: </w:t>
      </w:r>
      <w:r w:rsidR="0070333D" w:rsidRPr="0070333D">
        <w:rPr>
          <w:rFonts w:ascii="David" w:hAnsi="David" w:cs="David"/>
          <w:sz w:val="24"/>
          <w:szCs w:val="24"/>
          <w:rtl/>
        </w:rPr>
        <w:t>החלטה מח/2 מיום 22.11.2015</w:t>
      </w:r>
      <w:r w:rsidR="0070333D">
        <w:rPr>
          <w:rFonts w:ascii="David" w:hAnsi="David" w:cs="David" w:hint="cs"/>
          <w:sz w:val="24"/>
          <w:szCs w:val="24"/>
          <w:rtl/>
        </w:rPr>
        <w:t xml:space="preserve"> (הפרטת חברת אולם נחמני 4) ו</w:t>
      </w:r>
      <w:r w:rsidR="0070333D" w:rsidRPr="0070333D">
        <w:rPr>
          <w:rFonts w:ascii="David" w:hAnsi="David" w:cs="David"/>
          <w:sz w:val="24"/>
          <w:szCs w:val="24"/>
          <w:rtl/>
        </w:rPr>
        <w:t>החלטה מח/8 מיום 16.9.2018</w:t>
      </w:r>
      <w:r w:rsidR="0070333D">
        <w:rPr>
          <w:rFonts w:ascii="David" w:hAnsi="David" w:cs="David" w:hint="cs"/>
          <w:sz w:val="24"/>
          <w:szCs w:val="24"/>
          <w:rtl/>
        </w:rPr>
        <w:t xml:space="preserve"> (הפרטת חברת בניין הבימה)</w:t>
      </w:r>
      <w:r>
        <w:rPr>
          <w:rFonts w:ascii="David" w:hAnsi="David" w:cs="David" w:hint="cs"/>
          <w:sz w:val="24"/>
          <w:szCs w:val="24"/>
          <w:rtl/>
        </w:rPr>
        <w:t>,</w:t>
      </w:r>
      <w:r w:rsidR="00361A81" w:rsidRPr="00361A81">
        <w:rPr>
          <w:rFonts w:ascii="David" w:hAnsi="David" w:cs="David"/>
          <w:sz w:val="24"/>
          <w:szCs w:val="24"/>
          <w:rtl/>
        </w:rPr>
        <w:t xml:space="preserve"> </w:t>
      </w:r>
      <w:r>
        <w:rPr>
          <w:rFonts w:ascii="David" w:hAnsi="David" w:cs="David" w:hint="cs"/>
          <w:sz w:val="24"/>
          <w:szCs w:val="24"/>
          <w:rtl/>
        </w:rPr>
        <w:t>וזאת כדי לאפשר לכל המעוניין בכך להגיש את התייחסותו לדברים בטרם נפתח מו"מ מול עיריית תל אביב</w:t>
      </w:r>
      <w:r w:rsidR="00DE6A18">
        <w:rPr>
          <w:rFonts w:ascii="David" w:hAnsi="David" w:cs="David" w:hint="cs"/>
          <w:sz w:val="24"/>
          <w:szCs w:val="24"/>
          <w:rtl/>
        </w:rPr>
        <w:t xml:space="preserve"> בעניין</w:t>
      </w:r>
      <w:r w:rsidR="000B61AE">
        <w:rPr>
          <w:rFonts w:ascii="David" w:hAnsi="David" w:cs="David" w:hint="cs"/>
          <w:sz w:val="24"/>
          <w:szCs w:val="24"/>
          <w:rtl/>
        </w:rPr>
        <w:t>.</w:t>
      </w:r>
    </w:p>
    <w:p w14:paraId="67967D34" w14:textId="24E803FF" w:rsidR="00361A81" w:rsidRPr="00361A81" w:rsidRDefault="00361A81" w:rsidP="00361A81">
      <w:pPr>
        <w:spacing w:line="360" w:lineRule="auto"/>
        <w:jc w:val="both"/>
        <w:rPr>
          <w:rFonts w:ascii="David" w:hAnsi="David" w:cs="David"/>
          <w:b/>
          <w:bCs/>
          <w:sz w:val="24"/>
          <w:szCs w:val="24"/>
          <w:u w:val="single"/>
          <w:rtl/>
        </w:rPr>
      </w:pPr>
      <w:r w:rsidRPr="00361A81">
        <w:rPr>
          <w:rFonts w:ascii="David" w:hAnsi="David" w:cs="David"/>
          <w:b/>
          <w:bCs/>
          <w:sz w:val="24"/>
          <w:szCs w:val="24"/>
          <w:u w:val="single"/>
          <w:rtl/>
        </w:rPr>
        <w:t>רקע</w:t>
      </w:r>
    </w:p>
    <w:p w14:paraId="73EE2141" w14:textId="56511127" w:rsidR="00361A81" w:rsidRPr="00361A81" w:rsidRDefault="00361A81" w:rsidP="00361A81">
      <w:pPr>
        <w:spacing w:line="360" w:lineRule="auto"/>
        <w:jc w:val="both"/>
        <w:rPr>
          <w:rFonts w:ascii="David" w:hAnsi="David" w:cs="David"/>
          <w:b/>
          <w:bCs/>
          <w:sz w:val="24"/>
          <w:szCs w:val="24"/>
          <w:rtl/>
        </w:rPr>
      </w:pPr>
      <w:r w:rsidRPr="00361A81">
        <w:rPr>
          <w:rFonts w:ascii="David" w:hAnsi="David" w:cs="David"/>
          <w:sz w:val="24"/>
          <w:szCs w:val="24"/>
          <w:rtl/>
        </w:rPr>
        <w:t>חברת בניין הבימה בע"מ ("</w:t>
      </w:r>
      <w:r w:rsidRPr="00361A81">
        <w:rPr>
          <w:rFonts w:ascii="David" w:hAnsi="David" w:cs="David"/>
          <w:b/>
          <w:bCs/>
          <w:sz w:val="24"/>
          <w:szCs w:val="24"/>
          <w:rtl/>
        </w:rPr>
        <w:t>חברת הבימה</w:t>
      </w:r>
      <w:r w:rsidRPr="00361A81">
        <w:rPr>
          <w:rFonts w:ascii="David" w:hAnsi="David" w:cs="David"/>
          <w:sz w:val="24"/>
          <w:szCs w:val="24"/>
          <w:rtl/>
        </w:rPr>
        <w:t xml:space="preserve">") </w:t>
      </w:r>
      <w:r w:rsidR="00EB6349">
        <w:rPr>
          <w:rFonts w:ascii="David" w:hAnsi="David" w:cs="David" w:hint="cs"/>
          <w:sz w:val="24"/>
          <w:szCs w:val="24"/>
          <w:rtl/>
        </w:rPr>
        <w:t xml:space="preserve">- </w:t>
      </w:r>
      <w:r w:rsidRPr="00361A81">
        <w:rPr>
          <w:rFonts w:ascii="David" w:hAnsi="David" w:cs="David"/>
          <w:sz w:val="24"/>
          <w:szCs w:val="24"/>
          <w:rtl/>
        </w:rPr>
        <w:t xml:space="preserve">חברת הבימה התאגדה בשנת 1962 במטרה לחכור מהעירייה את המקרקעין עליהם הוקם בניין תיאטרון הבימה (גוש 7085 חלקה 181), לדאוג לתחזוקתו ולהעמידו לשימוש "תיאטרון הבימה". המדינה והעירייה מחזיקות בחלקים שווים (50% כ"א) במניות הרגילות של חברת הבימה, כאשר למדינה אין אמצעי שליטה עודפים. הנכס העיקרי של חברת הבימה הוא הסכם חכירה מהעירייה שתוקפו עד שנת 2036, המותנה בשימוש למטרות תיאטרון בלבד. חברת הבימה מנוהלת בפועל באמצעות הסכם ניהול על ידי חברה עירונית של העירייה "משכן </w:t>
      </w:r>
      <w:proofErr w:type="spellStart"/>
      <w:r w:rsidRPr="00361A81">
        <w:rPr>
          <w:rFonts w:ascii="David" w:hAnsi="David" w:cs="David"/>
          <w:sz w:val="24"/>
          <w:szCs w:val="24"/>
          <w:rtl/>
        </w:rPr>
        <w:t>אמנויות</w:t>
      </w:r>
      <w:proofErr w:type="spellEnd"/>
      <w:r w:rsidRPr="00361A81">
        <w:rPr>
          <w:rFonts w:ascii="David" w:hAnsi="David" w:cs="David"/>
          <w:sz w:val="24"/>
          <w:szCs w:val="24"/>
          <w:rtl/>
        </w:rPr>
        <w:t xml:space="preserve"> הבמה בע"מ", ואינה מעסיקה עובדים ישירים.</w:t>
      </w:r>
    </w:p>
    <w:p w14:paraId="5D382357" w14:textId="5026505C" w:rsidR="00361A81" w:rsidRPr="00361A81" w:rsidRDefault="00361A81" w:rsidP="00361A81">
      <w:pPr>
        <w:spacing w:line="360" w:lineRule="auto"/>
        <w:jc w:val="both"/>
        <w:rPr>
          <w:rFonts w:ascii="David" w:hAnsi="David" w:cs="David"/>
          <w:sz w:val="24"/>
          <w:szCs w:val="24"/>
        </w:rPr>
      </w:pPr>
      <w:r w:rsidRPr="00361A81">
        <w:rPr>
          <w:rFonts w:ascii="David" w:hAnsi="David" w:cs="David"/>
          <w:sz w:val="24"/>
          <w:szCs w:val="24"/>
          <w:rtl/>
        </w:rPr>
        <w:t>חברת אולם נחמני 4 בע"מ ("</w:t>
      </w:r>
      <w:r w:rsidRPr="00361A81">
        <w:rPr>
          <w:rFonts w:ascii="David" w:hAnsi="David" w:cs="David"/>
          <w:b/>
          <w:bCs/>
          <w:sz w:val="24"/>
          <w:szCs w:val="24"/>
          <w:rtl/>
        </w:rPr>
        <w:t>חברת נחמני</w:t>
      </w:r>
      <w:r w:rsidRPr="00361A81">
        <w:rPr>
          <w:rFonts w:ascii="David" w:hAnsi="David" w:cs="David"/>
          <w:sz w:val="24"/>
          <w:szCs w:val="24"/>
          <w:rtl/>
        </w:rPr>
        <w:t xml:space="preserve">") </w:t>
      </w:r>
      <w:r w:rsidR="00EB6349">
        <w:rPr>
          <w:rFonts w:ascii="David" w:hAnsi="David" w:cs="David" w:hint="cs"/>
          <w:sz w:val="24"/>
          <w:szCs w:val="24"/>
          <w:rtl/>
        </w:rPr>
        <w:t xml:space="preserve">- </w:t>
      </w:r>
      <w:r w:rsidRPr="00361A81">
        <w:rPr>
          <w:rFonts w:ascii="David" w:hAnsi="David" w:cs="David"/>
          <w:sz w:val="24"/>
          <w:szCs w:val="24"/>
          <w:rtl/>
        </w:rPr>
        <w:t>חברת נחמני הוקמה בשנת 1962 לצורך ניהול והשכרת אולם אירועים ותרבות ברחוב נחמני 4 בתל אביב</w:t>
      </w:r>
      <w:r w:rsidR="003423F9">
        <w:rPr>
          <w:rFonts w:ascii="David" w:hAnsi="David" w:cs="David" w:hint="cs"/>
          <w:sz w:val="24"/>
          <w:szCs w:val="24"/>
          <w:rtl/>
        </w:rPr>
        <w:t xml:space="preserve"> ("</w:t>
      </w:r>
      <w:r w:rsidR="003423F9" w:rsidRPr="003423F9">
        <w:rPr>
          <w:rFonts w:ascii="David" w:hAnsi="David" w:cs="David" w:hint="cs"/>
          <w:b/>
          <w:bCs/>
          <w:sz w:val="24"/>
          <w:szCs w:val="24"/>
          <w:rtl/>
        </w:rPr>
        <w:t>המקרקעין</w:t>
      </w:r>
      <w:r w:rsidR="003423F9">
        <w:rPr>
          <w:rFonts w:ascii="David" w:hAnsi="David" w:cs="David" w:hint="cs"/>
          <w:sz w:val="24"/>
          <w:szCs w:val="24"/>
          <w:rtl/>
        </w:rPr>
        <w:t>")</w:t>
      </w:r>
      <w:r w:rsidRPr="00361A81">
        <w:rPr>
          <w:rFonts w:ascii="David" w:hAnsi="David" w:cs="David"/>
          <w:sz w:val="24"/>
          <w:szCs w:val="24"/>
          <w:rtl/>
        </w:rPr>
        <w:t>. חברת נחמני מוחזקת בבעלות משותפת ושווה של המדינה והעירייה. חברת נחמני אינה פעילה עסקית מאז שנת 2004</w:t>
      </w:r>
      <w:r w:rsidR="00A7194A">
        <w:rPr>
          <w:rFonts w:ascii="David" w:hAnsi="David" w:cs="David" w:hint="cs"/>
          <w:sz w:val="24"/>
          <w:szCs w:val="24"/>
          <w:rtl/>
        </w:rPr>
        <w:t>, שאז ה</w:t>
      </w:r>
      <w:r w:rsidR="003423F9">
        <w:rPr>
          <w:rFonts w:ascii="David" w:hAnsi="David" w:cs="David" w:hint="cs"/>
          <w:sz w:val="24"/>
          <w:szCs w:val="24"/>
          <w:rtl/>
        </w:rPr>
        <w:t>ופקעו המקרקעין שלה ולמעשה כיום נכסיה הם הזכויות הקשורות להפקעה זו ובכלל כך זכויות</w:t>
      </w:r>
      <w:r w:rsidR="00EB6349">
        <w:rPr>
          <w:rFonts w:ascii="David" w:hAnsi="David" w:cs="David" w:hint="cs"/>
          <w:sz w:val="24"/>
          <w:szCs w:val="24"/>
          <w:rtl/>
        </w:rPr>
        <w:t xml:space="preserve"> במקרה של השבחה</w:t>
      </w:r>
      <w:r w:rsidR="003423F9">
        <w:rPr>
          <w:rFonts w:ascii="David" w:hAnsi="David" w:cs="David" w:hint="cs"/>
          <w:sz w:val="24"/>
          <w:szCs w:val="24"/>
          <w:rtl/>
        </w:rPr>
        <w:t>, כאשר גם למדינה זכויות נוספות מול העירייה  במקרה שכזה</w:t>
      </w:r>
      <w:r w:rsidR="00EB6349">
        <w:rPr>
          <w:rFonts w:ascii="David" w:hAnsi="David" w:cs="David" w:hint="cs"/>
          <w:sz w:val="24"/>
          <w:szCs w:val="24"/>
          <w:rtl/>
        </w:rPr>
        <w:t>.</w:t>
      </w:r>
      <w:r w:rsidR="00D011ED">
        <w:rPr>
          <w:rFonts w:ascii="David" w:hAnsi="David" w:cs="David" w:hint="cs"/>
          <w:sz w:val="24"/>
          <w:szCs w:val="24"/>
          <w:rtl/>
        </w:rPr>
        <w:t xml:space="preserve"> </w:t>
      </w:r>
      <w:r w:rsidRPr="00361A81">
        <w:rPr>
          <w:rFonts w:ascii="David" w:hAnsi="David" w:cs="David"/>
          <w:sz w:val="24"/>
          <w:szCs w:val="24"/>
          <w:rtl/>
        </w:rPr>
        <w:t>לחברה חובות שונים כלפי העירייה וגופים ממשלתיים, ואין לה עובדים או דירקטוריון מכהן.</w:t>
      </w:r>
    </w:p>
    <w:p w14:paraId="49F079C2" w14:textId="55127B3A" w:rsidR="00361A81" w:rsidRPr="00361A81" w:rsidRDefault="00361A81" w:rsidP="00361A81">
      <w:pPr>
        <w:spacing w:line="360" w:lineRule="auto"/>
        <w:jc w:val="both"/>
        <w:rPr>
          <w:rFonts w:ascii="David" w:hAnsi="David" w:cs="David"/>
          <w:b/>
          <w:bCs/>
          <w:sz w:val="24"/>
          <w:szCs w:val="24"/>
          <w:u w:val="single"/>
          <w:rtl/>
        </w:rPr>
      </w:pPr>
      <w:r w:rsidRPr="00361A81">
        <w:rPr>
          <w:rFonts w:ascii="David" w:hAnsi="David" w:cs="David"/>
          <w:b/>
          <w:bCs/>
          <w:sz w:val="24"/>
          <w:szCs w:val="24"/>
          <w:u w:val="single"/>
          <w:rtl/>
        </w:rPr>
        <w:t>החלטות ההפרטה</w:t>
      </w:r>
    </w:p>
    <w:p w14:paraId="20891ACD" w14:textId="72D9C8F4" w:rsidR="0009146F" w:rsidRDefault="00361A81" w:rsidP="00361A81">
      <w:pPr>
        <w:spacing w:line="360" w:lineRule="auto"/>
        <w:jc w:val="both"/>
        <w:rPr>
          <w:rFonts w:ascii="David" w:hAnsi="David" w:cs="David"/>
          <w:sz w:val="24"/>
          <w:szCs w:val="24"/>
          <w:rtl/>
        </w:rPr>
      </w:pPr>
      <w:r w:rsidRPr="00361A81">
        <w:rPr>
          <w:rFonts w:ascii="David" w:hAnsi="David" w:cs="David"/>
          <w:sz w:val="24"/>
          <w:szCs w:val="24"/>
          <w:rtl/>
        </w:rPr>
        <w:t>ביום 1.6.2014 התקבלה החלטת ועדת שרים לענייני הפרטה (מח/5) שעניינה הפרדת אחזקות בחברות המשותפות למדינה ולעירייה</w:t>
      </w:r>
      <w:r w:rsidR="0009146F">
        <w:rPr>
          <w:rFonts w:ascii="David" w:hAnsi="David" w:cs="David" w:hint="cs"/>
          <w:sz w:val="24"/>
          <w:szCs w:val="24"/>
          <w:rtl/>
        </w:rPr>
        <w:t>. במסגרת החלטה זו הופרדו אחזקות המדינה ואחזקות עיריית תל אביב במספר חברות (אוצר מפעלי ים בע"מ, אתרים בחו</w:t>
      </w:r>
      <w:r w:rsidR="00FD3363">
        <w:rPr>
          <w:rFonts w:ascii="David" w:hAnsi="David" w:cs="David" w:hint="cs"/>
          <w:sz w:val="24"/>
          <w:szCs w:val="24"/>
          <w:rtl/>
        </w:rPr>
        <w:t>ף</w:t>
      </w:r>
      <w:r w:rsidR="0009146F">
        <w:rPr>
          <w:rFonts w:ascii="David" w:hAnsi="David" w:cs="David" w:hint="cs"/>
          <w:sz w:val="24"/>
          <w:szCs w:val="24"/>
          <w:rtl/>
        </w:rPr>
        <w:t xml:space="preserve"> תל אביב</w:t>
      </w:r>
      <w:r w:rsidR="00FD3363">
        <w:rPr>
          <w:rFonts w:ascii="David" w:hAnsi="David" w:cs="David" w:hint="cs"/>
          <w:sz w:val="24"/>
          <w:szCs w:val="24"/>
          <w:rtl/>
        </w:rPr>
        <w:t xml:space="preserve"> -</w:t>
      </w:r>
      <w:r w:rsidR="0009146F">
        <w:rPr>
          <w:rFonts w:ascii="David" w:hAnsi="David" w:cs="David" w:hint="cs"/>
          <w:sz w:val="24"/>
          <w:szCs w:val="24"/>
          <w:rtl/>
        </w:rPr>
        <w:t xml:space="preserve"> חברה לפיתוח אתרי תיירות בתל אביב יפו בע"מ, החברה לפיתוח יפו העתיקה בע"מ וחלמיש חברה ממשלתית עירונית לדיור שיקום ולהתחדשות בתל אביב יפו בע"מ</w:t>
      </w:r>
      <w:r w:rsidR="00FD3363">
        <w:rPr>
          <w:rFonts w:ascii="David" w:hAnsi="David" w:cs="David" w:hint="cs"/>
          <w:sz w:val="24"/>
          <w:szCs w:val="24"/>
          <w:rtl/>
        </w:rPr>
        <w:t>) ("</w:t>
      </w:r>
      <w:r w:rsidR="00FD3363" w:rsidRPr="001F4BD6">
        <w:rPr>
          <w:rFonts w:ascii="David" w:hAnsi="David" w:cs="David" w:hint="eastAsia"/>
          <w:b/>
          <w:bCs/>
          <w:sz w:val="24"/>
          <w:szCs w:val="24"/>
          <w:rtl/>
        </w:rPr>
        <w:t>עסקת</w:t>
      </w:r>
      <w:r w:rsidR="00FD3363" w:rsidRPr="001F4BD6">
        <w:rPr>
          <w:rFonts w:ascii="David" w:hAnsi="David" w:cs="David"/>
          <w:b/>
          <w:bCs/>
          <w:sz w:val="24"/>
          <w:szCs w:val="24"/>
          <w:rtl/>
        </w:rPr>
        <w:t xml:space="preserve"> </w:t>
      </w:r>
      <w:r w:rsidR="00FD3363" w:rsidRPr="001F4BD6">
        <w:rPr>
          <w:rFonts w:ascii="David" w:hAnsi="David" w:cs="David" w:hint="eastAsia"/>
          <w:b/>
          <w:bCs/>
          <w:sz w:val="24"/>
          <w:szCs w:val="24"/>
          <w:rtl/>
        </w:rPr>
        <w:t>הפרדת</w:t>
      </w:r>
      <w:r w:rsidR="00FD3363" w:rsidRPr="001F4BD6">
        <w:rPr>
          <w:rFonts w:ascii="David" w:hAnsi="David" w:cs="David"/>
          <w:b/>
          <w:bCs/>
          <w:sz w:val="24"/>
          <w:szCs w:val="24"/>
          <w:rtl/>
        </w:rPr>
        <w:t xml:space="preserve"> </w:t>
      </w:r>
      <w:r w:rsidR="00FD3363" w:rsidRPr="001F4BD6">
        <w:rPr>
          <w:rFonts w:ascii="David" w:hAnsi="David" w:cs="David" w:hint="eastAsia"/>
          <w:b/>
          <w:bCs/>
          <w:sz w:val="24"/>
          <w:szCs w:val="24"/>
          <w:rtl/>
        </w:rPr>
        <w:t>האחזקות</w:t>
      </w:r>
      <w:r w:rsidR="00FD3363">
        <w:rPr>
          <w:rFonts w:ascii="David" w:hAnsi="David" w:cs="David" w:hint="cs"/>
          <w:sz w:val="24"/>
          <w:szCs w:val="24"/>
          <w:rtl/>
        </w:rPr>
        <w:t xml:space="preserve">") </w:t>
      </w:r>
      <w:r w:rsidR="007C4238">
        <w:rPr>
          <w:rFonts w:ascii="David" w:hAnsi="David" w:cs="David" w:hint="cs"/>
          <w:sz w:val="24"/>
          <w:szCs w:val="24"/>
          <w:rtl/>
        </w:rPr>
        <w:t>בהמשך</w:t>
      </w:r>
      <w:r w:rsidR="00BB027B">
        <w:rPr>
          <w:rFonts w:ascii="David" w:hAnsi="David" w:cs="David" w:hint="cs"/>
          <w:sz w:val="24"/>
          <w:szCs w:val="24"/>
          <w:rtl/>
        </w:rPr>
        <w:t xml:space="preserve"> לכך</w:t>
      </w:r>
      <w:r w:rsidR="007C4238">
        <w:rPr>
          <w:rFonts w:ascii="David" w:hAnsi="David" w:cs="David" w:hint="cs"/>
          <w:sz w:val="24"/>
          <w:szCs w:val="24"/>
          <w:rtl/>
        </w:rPr>
        <w:t xml:space="preserve"> </w:t>
      </w:r>
      <w:r w:rsidR="0064138C">
        <w:rPr>
          <w:rFonts w:ascii="David" w:hAnsi="David" w:cs="David" w:hint="cs"/>
          <w:sz w:val="24"/>
          <w:szCs w:val="24"/>
          <w:rtl/>
        </w:rPr>
        <w:t>רשות</w:t>
      </w:r>
      <w:r w:rsidR="00BB027B">
        <w:rPr>
          <w:rFonts w:ascii="David" w:hAnsi="David" w:cs="David" w:hint="cs"/>
          <w:sz w:val="24"/>
          <w:szCs w:val="24"/>
          <w:rtl/>
        </w:rPr>
        <w:t xml:space="preserve"> החברות הממשלתיות ("</w:t>
      </w:r>
      <w:r w:rsidR="00BB027B" w:rsidRPr="001F4BD6">
        <w:rPr>
          <w:rFonts w:ascii="David" w:hAnsi="David" w:cs="David" w:hint="eastAsia"/>
          <w:b/>
          <w:bCs/>
          <w:sz w:val="24"/>
          <w:szCs w:val="24"/>
          <w:rtl/>
        </w:rPr>
        <w:t>הרשות</w:t>
      </w:r>
      <w:r w:rsidR="00BB027B">
        <w:rPr>
          <w:rFonts w:ascii="David" w:hAnsi="David" w:cs="David" w:hint="cs"/>
          <w:sz w:val="24"/>
          <w:szCs w:val="24"/>
          <w:rtl/>
        </w:rPr>
        <w:t>")</w:t>
      </w:r>
      <w:r w:rsidR="0064138C">
        <w:rPr>
          <w:rFonts w:ascii="David" w:hAnsi="David" w:cs="David" w:hint="cs"/>
          <w:sz w:val="24"/>
          <w:szCs w:val="24"/>
          <w:rtl/>
        </w:rPr>
        <w:t xml:space="preserve"> </w:t>
      </w:r>
      <w:r w:rsidR="00BB027B">
        <w:rPr>
          <w:rFonts w:ascii="David" w:hAnsi="David" w:cs="David" w:hint="cs"/>
          <w:sz w:val="24"/>
          <w:szCs w:val="24"/>
          <w:rtl/>
        </w:rPr>
        <w:t xml:space="preserve">סברה </w:t>
      </w:r>
      <w:r w:rsidR="0064138C">
        <w:rPr>
          <w:rFonts w:ascii="David" w:hAnsi="David" w:cs="David" w:hint="cs"/>
          <w:sz w:val="24"/>
          <w:szCs w:val="24"/>
          <w:rtl/>
        </w:rPr>
        <w:t>כי הדרך הנכונה להפריט את אחזקות המדינה בחברות אולם נחמני ובניין הבימה היא</w:t>
      </w:r>
      <w:r w:rsidR="007C4238">
        <w:rPr>
          <w:rFonts w:ascii="David" w:hAnsi="David" w:cs="David" w:hint="cs"/>
          <w:sz w:val="24"/>
          <w:szCs w:val="24"/>
          <w:rtl/>
        </w:rPr>
        <w:t xml:space="preserve"> בדרך דומה לדרך המכירה בעסקת הפרדת האחזקות, קרי,</w:t>
      </w:r>
      <w:r w:rsidR="0064138C">
        <w:rPr>
          <w:rFonts w:ascii="David" w:hAnsi="David" w:cs="David" w:hint="cs"/>
          <w:sz w:val="24"/>
          <w:szCs w:val="24"/>
          <w:rtl/>
        </w:rPr>
        <w:t xml:space="preserve"> על דרך מכירתן לעיריית תל אביב או לתאגידים עירוניים בשליטתה המלאה.</w:t>
      </w:r>
    </w:p>
    <w:p w14:paraId="769155E3" w14:textId="73FE5260" w:rsidR="0009146F" w:rsidRPr="00361A81" w:rsidRDefault="0064138C" w:rsidP="0009146F">
      <w:pPr>
        <w:spacing w:line="360" w:lineRule="auto"/>
        <w:jc w:val="both"/>
        <w:rPr>
          <w:rFonts w:ascii="David" w:hAnsi="David" w:cs="David"/>
          <w:sz w:val="24"/>
          <w:szCs w:val="24"/>
          <w:rtl/>
        </w:rPr>
      </w:pPr>
      <w:r>
        <w:rPr>
          <w:rFonts w:ascii="David" w:hAnsi="David" w:cs="David" w:hint="cs"/>
          <w:sz w:val="24"/>
          <w:szCs w:val="24"/>
          <w:rtl/>
        </w:rPr>
        <w:t xml:space="preserve">לצורך </w:t>
      </w:r>
      <w:r w:rsidR="00BB027B">
        <w:rPr>
          <w:rFonts w:ascii="David" w:hAnsi="David" w:cs="David" w:hint="cs"/>
          <w:sz w:val="24"/>
          <w:szCs w:val="24"/>
          <w:rtl/>
        </w:rPr>
        <w:t xml:space="preserve">עניין זה </w:t>
      </w:r>
      <w:r>
        <w:rPr>
          <w:rFonts w:ascii="David" w:hAnsi="David" w:cs="David" w:hint="cs"/>
          <w:sz w:val="24"/>
          <w:szCs w:val="24"/>
          <w:rtl/>
        </w:rPr>
        <w:t>נערכה פניה מתאימה לו</w:t>
      </w:r>
      <w:r w:rsidR="00BB027B">
        <w:rPr>
          <w:rFonts w:ascii="David" w:hAnsi="David" w:cs="David" w:hint="cs"/>
          <w:sz w:val="24"/>
          <w:szCs w:val="24"/>
          <w:rtl/>
        </w:rPr>
        <w:t>ו</w:t>
      </w:r>
      <w:r>
        <w:rPr>
          <w:rFonts w:ascii="David" w:hAnsi="David" w:cs="David" w:hint="cs"/>
          <w:sz w:val="24"/>
          <w:szCs w:val="24"/>
          <w:rtl/>
        </w:rPr>
        <w:t>עדה למכירת מניות המדינה, ו</w:t>
      </w:r>
      <w:r w:rsidR="0009146F">
        <w:rPr>
          <w:rFonts w:ascii="David" w:hAnsi="David" w:cs="David" w:hint="cs"/>
          <w:sz w:val="24"/>
          <w:szCs w:val="24"/>
          <w:rtl/>
        </w:rPr>
        <w:t xml:space="preserve">בשנת 2015 החליטה הועדה למכירת מניות המדינה על מתן פטור ממכרז מכוח תקנה 3(14) לתקנות חובת המכרזים, כך שמניות </w:t>
      </w:r>
      <w:r w:rsidR="0009146F">
        <w:rPr>
          <w:rFonts w:ascii="David" w:hAnsi="David" w:cs="David" w:hint="cs"/>
          <w:sz w:val="24"/>
          <w:szCs w:val="24"/>
          <w:rtl/>
        </w:rPr>
        <w:lastRenderedPageBreak/>
        <w:t xml:space="preserve">המדינה בחברות </w:t>
      </w:r>
      <w:r w:rsidR="00BB027B">
        <w:rPr>
          <w:rFonts w:ascii="David" w:hAnsi="David" w:cs="David" w:hint="cs"/>
          <w:sz w:val="24"/>
          <w:szCs w:val="24"/>
          <w:rtl/>
        </w:rPr>
        <w:t xml:space="preserve">אולם נחמני ובניין הבימה </w:t>
      </w:r>
      <w:r w:rsidR="0009146F">
        <w:rPr>
          <w:rFonts w:ascii="David" w:hAnsi="David" w:cs="David" w:hint="cs"/>
          <w:sz w:val="24"/>
          <w:szCs w:val="24"/>
          <w:rtl/>
        </w:rPr>
        <w:t>יימכרו לעיריית תל אביב או לתאגיד עירוני שבשליטתה המלאה</w:t>
      </w:r>
      <w:r w:rsidR="000C5495">
        <w:rPr>
          <w:rFonts w:ascii="David" w:hAnsi="David" w:cs="David" w:hint="cs"/>
          <w:sz w:val="24"/>
          <w:szCs w:val="24"/>
          <w:rtl/>
        </w:rPr>
        <w:t xml:space="preserve"> בכפוף לקבלת החלטה מתאימה של ועדת השרים לענייני הפרטה, אישור החשבת הכללית ואישור ועדת הכספים של הכנסת</w:t>
      </w:r>
      <w:r>
        <w:rPr>
          <w:rFonts w:ascii="David" w:hAnsi="David" w:cs="David" w:hint="cs"/>
          <w:sz w:val="24"/>
          <w:szCs w:val="24"/>
          <w:rtl/>
        </w:rPr>
        <w:t>.</w:t>
      </w:r>
    </w:p>
    <w:p w14:paraId="73D747AE" w14:textId="0549A855" w:rsidR="00361A81" w:rsidRPr="00361A81" w:rsidRDefault="00361A81" w:rsidP="00361A81">
      <w:pPr>
        <w:spacing w:line="360" w:lineRule="auto"/>
        <w:jc w:val="both"/>
        <w:rPr>
          <w:rFonts w:ascii="David" w:hAnsi="David" w:cs="David"/>
          <w:sz w:val="24"/>
          <w:szCs w:val="24"/>
        </w:rPr>
      </w:pPr>
      <w:r w:rsidRPr="00361A81">
        <w:rPr>
          <w:rFonts w:ascii="David" w:hAnsi="David" w:cs="David"/>
          <w:sz w:val="24"/>
          <w:szCs w:val="24"/>
          <w:rtl/>
        </w:rPr>
        <w:t xml:space="preserve"> בהמשך לכך, התקבלו </w:t>
      </w:r>
      <w:r w:rsidR="000C5495">
        <w:rPr>
          <w:rFonts w:ascii="David" w:hAnsi="David" w:cs="David" w:hint="cs"/>
          <w:sz w:val="24"/>
          <w:szCs w:val="24"/>
          <w:rtl/>
        </w:rPr>
        <w:t>ב</w:t>
      </w:r>
      <w:r w:rsidR="007A1B60">
        <w:rPr>
          <w:rFonts w:ascii="David" w:hAnsi="David" w:cs="David" w:hint="cs"/>
          <w:sz w:val="24"/>
          <w:szCs w:val="24"/>
          <w:rtl/>
        </w:rPr>
        <w:t>ו</w:t>
      </w:r>
      <w:r w:rsidR="000C5495">
        <w:rPr>
          <w:rFonts w:ascii="David" w:hAnsi="David" w:cs="David" w:hint="cs"/>
          <w:sz w:val="24"/>
          <w:szCs w:val="24"/>
          <w:rtl/>
        </w:rPr>
        <w:t xml:space="preserve">ועדת השרים לענייני הפרטה החלטות הפרטה </w:t>
      </w:r>
      <w:r w:rsidRPr="00361A81">
        <w:rPr>
          <w:rFonts w:ascii="David" w:hAnsi="David" w:cs="David"/>
          <w:sz w:val="24"/>
          <w:szCs w:val="24"/>
          <w:rtl/>
        </w:rPr>
        <w:t>ספציפיו</w:t>
      </w:r>
      <w:r w:rsidR="000C5495">
        <w:rPr>
          <w:rFonts w:ascii="David" w:hAnsi="David" w:cs="David" w:hint="cs"/>
          <w:sz w:val="24"/>
          <w:szCs w:val="24"/>
          <w:rtl/>
        </w:rPr>
        <w:t>ת לגבי החברות</w:t>
      </w:r>
      <w:r w:rsidRPr="00361A81">
        <w:rPr>
          <w:rFonts w:ascii="David" w:hAnsi="David" w:cs="David"/>
          <w:sz w:val="24"/>
          <w:szCs w:val="24"/>
        </w:rPr>
        <w:t>:</w:t>
      </w:r>
    </w:p>
    <w:p w14:paraId="24E5D892" w14:textId="0C9769E0" w:rsidR="00361A81" w:rsidRPr="00361A81" w:rsidRDefault="00361A81" w:rsidP="00361A81">
      <w:pPr>
        <w:numPr>
          <w:ilvl w:val="0"/>
          <w:numId w:val="2"/>
        </w:numPr>
        <w:spacing w:line="360" w:lineRule="auto"/>
        <w:jc w:val="both"/>
        <w:rPr>
          <w:rFonts w:ascii="David" w:hAnsi="David" w:cs="David"/>
          <w:sz w:val="24"/>
          <w:szCs w:val="24"/>
        </w:rPr>
      </w:pPr>
      <w:bookmarkStart w:id="0" w:name="_Hlk222903648"/>
      <w:r w:rsidRPr="00361A81">
        <w:rPr>
          <w:rFonts w:ascii="David" w:hAnsi="David" w:cs="David"/>
          <w:b/>
          <w:bCs/>
          <w:sz w:val="24"/>
          <w:szCs w:val="24"/>
          <w:rtl/>
        </w:rPr>
        <w:t>לגבי חברת נחמנ</w:t>
      </w:r>
      <w:r w:rsidR="003423F9">
        <w:rPr>
          <w:rFonts w:ascii="David" w:hAnsi="David" w:cs="David" w:hint="cs"/>
          <w:b/>
          <w:bCs/>
          <w:sz w:val="24"/>
          <w:szCs w:val="24"/>
          <w:rtl/>
        </w:rPr>
        <w:t xml:space="preserve">י: </w:t>
      </w:r>
      <w:r w:rsidRPr="00361A81">
        <w:rPr>
          <w:rFonts w:ascii="David" w:hAnsi="David" w:cs="David"/>
          <w:sz w:val="24"/>
          <w:szCs w:val="24"/>
          <w:rtl/>
        </w:rPr>
        <w:t>החלטה מח/2 מיום 22.11.2015</w:t>
      </w:r>
      <w:r w:rsidRPr="00361A81">
        <w:rPr>
          <w:rFonts w:ascii="David" w:hAnsi="David" w:cs="David"/>
          <w:sz w:val="24"/>
          <w:szCs w:val="24"/>
        </w:rPr>
        <w:t>.</w:t>
      </w:r>
    </w:p>
    <w:p w14:paraId="20B22458" w14:textId="5960BDF1" w:rsidR="00361A81" w:rsidRPr="00361A81" w:rsidRDefault="00361A81" w:rsidP="00361A81">
      <w:pPr>
        <w:numPr>
          <w:ilvl w:val="0"/>
          <w:numId w:val="2"/>
        </w:numPr>
        <w:spacing w:line="360" w:lineRule="auto"/>
        <w:jc w:val="both"/>
        <w:rPr>
          <w:rFonts w:ascii="David" w:hAnsi="David" w:cs="David"/>
          <w:sz w:val="24"/>
          <w:szCs w:val="24"/>
        </w:rPr>
      </w:pPr>
      <w:r w:rsidRPr="00361A81">
        <w:rPr>
          <w:rFonts w:ascii="David" w:hAnsi="David" w:cs="David"/>
          <w:b/>
          <w:bCs/>
          <w:sz w:val="24"/>
          <w:szCs w:val="24"/>
          <w:rtl/>
        </w:rPr>
        <w:t>לגבי חברת הבימ</w:t>
      </w:r>
      <w:r w:rsidR="003423F9">
        <w:rPr>
          <w:rFonts w:ascii="David" w:hAnsi="David" w:cs="David" w:hint="cs"/>
          <w:b/>
          <w:bCs/>
          <w:sz w:val="24"/>
          <w:szCs w:val="24"/>
          <w:rtl/>
        </w:rPr>
        <w:t xml:space="preserve">ה: </w:t>
      </w:r>
      <w:r w:rsidRPr="00361A81">
        <w:rPr>
          <w:rFonts w:ascii="David" w:hAnsi="David" w:cs="David"/>
          <w:sz w:val="24"/>
          <w:szCs w:val="24"/>
          <w:rtl/>
        </w:rPr>
        <w:t>החלטה מח/8 מיום 16.9.2018</w:t>
      </w:r>
      <w:r w:rsidR="00EB6349">
        <w:rPr>
          <w:rFonts w:ascii="David" w:hAnsi="David" w:cs="David" w:hint="cs"/>
          <w:sz w:val="24"/>
          <w:szCs w:val="24"/>
          <w:rtl/>
        </w:rPr>
        <w:t>.</w:t>
      </w:r>
    </w:p>
    <w:bookmarkEnd w:id="0"/>
    <w:p w14:paraId="6D290C7F" w14:textId="12F252AD" w:rsidR="00361A81" w:rsidRDefault="00361A81" w:rsidP="00361A81">
      <w:pPr>
        <w:spacing w:line="360" w:lineRule="auto"/>
        <w:jc w:val="both"/>
        <w:rPr>
          <w:rFonts w:ascii="David" w:hAnsi="David" w:cs="David"/>
          <w:sz w:val="24"/>
          <w:szCs w:val="24"/>
          <w:rtl/>
        </w:rPr>
      </w:pPr>
      <w:r w:rsidRPr="00361A81">
        <w:rPr>
          <w:rFonts w:ascii="David" w:hAnsi="David" w:cs="David"/>
          <w:sz w:val="24"/>
          <w:szCs w:val="24"/>
          <w:rtl/>
        </w:rPr>
        <w:t xml:space="preserve">במסגרת החלטות אלו נקבע כי המדינה תפעל למכירת מלוא אחזקותיה בחברות </w:t>
      </w:r>
      <w:r w:rsidR="003423F9">
        <w:rPr>
          <w:rFonts w:ascii="David" w:hAnsi="David" w:cs="David" w:hint="cs"/>
          <w:sz w:val="24"/>
          <w:szCs w:val="24"/>
          <w:rtl/>
        </w:rPr>
        <w:t xml:space="preserve">נחמני והבימה </w:t>
      </w:r>
      <w:r w:rsidRPr="00361A81">
        <w:rPr>
          <w:rFonts w:ascii="David" w:hAnsi="David" w:cs="David"/>
          <w:sz w:val="24"/>
          <w:szCs w:val="24"/>
          <w:rtl/>
        </w:rPr>
        <w:t>לידי העירייה במכירה פרטית, בכפוף לקבלת האישורים הנדרשים</w:t>
      </w:r>
      <w:r w:rsidRPr="00361A81">
        <w:rPr>
          <w:rFonts w:ascii="David" w:hAnsi="David" w:cs="David"/>
          <w:sz w:val="24"/>
          <w:szCs w:val="24"/>
        </w:rPr>
        <w:t>.</w:t>
      </w:r>
    </w:p>
    <w:p w14:paraId="5AD15DBE" w14:textId="61AFF60D" w:rsidR="00361A81" w:rsidRDefault="000C5495" w:rsidP="00361A81">
      <w:pPr>
        <w:spacing w:line="360" w:lineRule="auto"/>
        <w:jc w:val="both"/>
        <w:rPr>
          <w:rFonts w:ascii="David" w:hAnsi="David" w:cs="David"/>
          <w:sz w:val="24"/>
          <w:szCs w:val="24"/>
          <w:rtl/>
        </w:rPr>
      </w:pPr>
      <w:r>
        <w:rPr>
          <w:rFonts w:ascii="David" w:hAnsi="David" w:cs="David" w:hint="cs"/>
          <w:sz w:val="24"/>
          <w:szCs w:val="24"/>
          <w:rtl/>
        </w:rPr>
        <w:t>במהלך השנים העניין לא הסתייע ו</w:t>
      </w:r>
      <w:r w:rsidR="00361A81" w:rsidRPr="00361A81">
        <w:rPr>
          <w:rFonts w:ascii="David" w:hAnsi="David" w:cs="David"/>
          <w:sz w:val="24"/>
          <w:szCs w:val="24"/>
          <w:rtl/>
        </w:rPr>
        <w:t>ביום 2</w:t>
      </w:r>
      <w:r w:rsidR="00361A81" w:rsidRPr="00361A81">
        <w:rPr>
          <w:rFonts w:ascii="David" w:hAnsi="David" w:cs="David" w:hint="cs"/>
          <w:sz w:val="24"/>
          <w:szCs w:val="24"/>
          <w:rtl/>
        </w:rPr>
        <w:t>8</w:t>
      </w:r>
      <w:r w:rsidR="00361A81" w:rsidRPr="00361A81">
        <w:rPr>
          <w:rFonts w:ascii="David" w:hAnsi="David" w:cs="David"/>
          <w:sz w:val="24"/>
          <w:szCs w:val="24"/>
          <w:rtl/>
        </w:rPr>
        <w:t>.</w:t>
      </w:r>
      <w:r w:rsidR="00361A81" w:rsidRPr="00361A81">
        <w:rPr>
          <w:rFonts w:ascii="David" w:hAnsi="David" w:cs="David" w:hint="cs"/>
          <w:sz w:val="24"/>
          <w:szCs w:val="24"/>
          <w:rtl/>
        </w:rPr>
        <w:t>1</w:t>
      </w:r>
      <w:r w:rsidR="00361A81" w:rsidRPr="00361A81">
        <w:rPr>
          <w:rFonts w:ascii="David" w:hAnsi="David" w:cs="David"/>
          <w:sz w:val="24"/>
          <w:szCs w:val="24"/>
          <w:rtl/>
        </w:rPr>
        <w:t>.202</w:t>
      </w:r>
      <w:r w:rsidR="00361A81" w:rsidRPr="00361A81">
        <w:rPr>
          <w:rFonts w:ascii="David" w:hAnsi="David" w:cs="David" w:hint="cs"/>
          <w:sz w:val="24"/>
          <w:szCs w:val="24"/>
          <w:rtl/>
        </w:rPr>
        <w:t>6</w:t>
      </w:r>
      <w:r w:rsidR="00361A81" w:rsidRPr="00361A81">
        <w:rPr>
          <w:rFonts w:ascii="David" w:hAnsi="David" w:cs="David"/>
          <w:sz w:val="24"/>
          <w:szCs w:val="24"/>
          <w:rtl/>
        </w:rPr>
        <w:t>, הוועדה למכירת מניות מדינה</w:t>
      </w:r>
      <w:r w:rsidR="00361A81" w:rsidRPr="00361A81">
        <w:rPr>
          <w:rFonts w:ascii="David" w:hAnsi="David" w:cs="David" w:hint="cs"/>
          <w:sz w:val="24"/>
          <w:szCs w:val="24"/>
          <w:rtl/>
        </w:rPr>
        <w:t xml:space="preserve"> </w:t>
      </w:r>
      <w:r w:rsidR="007A1B60">
        <w:rPr>
          <w:rFonts w:ascii="David" w:hAnsi="David" w:cs="David" w:hint="cs"/>
          <w:sz w:val="24"/>
          <w:szCs w:val="24"/>
          <w:rtl/>
        </w:rPr>
        <w:t xml:space="preserve">החליטה להאריך </w:t>
      </w:r>
      <w:r w:rsidR="00361A81" w:rsidRPr="00361A81">
        <w:rPr>
          <w:rFonts w:ascii="David" w:hAnsi="David" w:cs="David" w:hint="cs"/>
          <w:sz w:val="24"/>
          <w:szCs w:val="24"/>
          <w:rtl/>
        </w:rPr>
        <w:t>את תוקפו של הפטור</w:t>
      </w:r>
      <w:r w:rsidR="00361A81" w:rsidRPr="00361A81">
        <w:rPr>
          <w:rFonts w:ascii="David" w:hAnsi="David" w:cs="David"/>
          <w:sz w:val="24"/>
          <w:szCs w:val="24"/>
          <w:rtl/>
        </w:rPr>
        <w:t xml:space="preserve"> </w:t>
      </w:r>
      <w:r w:rsidR="00361A81" w:rsidRPr="00361A81">
        <w:rPr>
          <w:rFonts w:ascii="David" w:hAnsi="David" w:cs="David" w:hint="cs"/>
          <w:sz w:val="24"/>
          <w:szCs w:val="24"/>
          <w:rtl/>
        </w:rPr>
        <w:t xml:space="preserve">מכוח תקנה </w:t>
      </w:r>
      <w:r w:rsidR="00361A81" w:rsidRPr="00361A81">
        <w:rPr>
          <w:rFonts w:ascii="David" w:hAnsi="David" w:cs="David"/>
          <w:sz w:val="24"/>
          <w:szCs w:val="24"/>
          <w:rtl/>
        </w:rPr>
        <w:t>3(14) לתקנות חובת המכרזים</w:t>
      </w:r>
      <w:r w:rsidR="00361A81" w:rsidRPr="00361A81">
        <w:rPr>
          <w:rFonts w:ascii="David" w:hAnsi="David" w:cs="David" w:hint="cs"/>
          <w:sz w:val="24"/>
          <w:szCs w:val="24"/>
          <w:rtl/>
        </w:rPr>
        <w:t>,</w:t>
      </w:r>
      <w:r w:rsidR="00361A81" w:rsidRPr="00361A81">
        <w:rPr>
          <w:rFonts w:ascii="David" w:hAnsi="David" w:cs="David"/>
          <w:sz w:val="24"/>
          <w:szCs w:val="24"/>
          <w:rtl/>
        </w:rPr>
        <w:t xml:space="preserve"> למכירת </w:t>
      </w:r>
      <w:r w:rsidR="00361A81" w:rsidRPr="00361A81">
        <w:rPr>
          <w:rFonts w:ascii="David" w:hAnsi="David" w:cs="David" w:hint="cs"/>
          <w:sz w:val="24"/>
          <w:szCs w:val="24"/>
          <w:rtl/>
        </w:rPr>
        <w:t xml:space="preserve">מניות המדינה בחברות </w:t>
      </w:r>
      <w:r>
        <w:rPr>
          <w:rFonts w:ascii="David" w:hAnsi="David" w:cs="David" w:hint="cs"/>
          <w:sz w:val="24"/>
          <w:szCs w:val="24"/>
          <w:rtl/>
        </w:rPr>
        <w:t xml:space="preserve">נחמני והבימה </w:t>
      </w:r>
      <w:r w:rsidR="00EB6349">
        <w:rPr>
          <w:rFonts w:ascii="David" w:hAnsi="David" w:cs="David" w:hint="cs"/>
          <w:sz w:val="24"/>
          <w:szCs w:val="24"/>
          <w:rtl/>
        </w:rPr>
        <w:t>בכפוף לקבלת</w:t>
      </w:r>
      <w:r w:rsidR="00EB6349" w:rsidRPr="00361A81">
        <w:rPr>
          <w:rFonts w:ascii="David" w:hAnsi="David" w:cs="David" w:hint="cs"/>
          <w:sz w:val="24"/>
          <w:szCs w:val="24"/>
          <w:rtl/>
        </w:rPr>
        <w:t xml:space="preserve"> </w:t>
      </w:r>
      <w:r w:rsidR="00361A81" w:rsidRPr="00361A81">
        <w:rPr>
          <w:rFonts w:ascii="David" w:hAnsi="David" w:cs="David" w:hint="cs"/>
          <w:sz w:val="24"/>
          <w:szCs w:val="24"/>
          <w:rtl/>
        </w:rPr>
        <w:t>אישור החשב הכללי, בהתאם להוראות התקנה,</w:t>
      </w:r>
      <w:r w:rsidR="00361A81" w:rsidRPr="00361A81">
        <w:rPr>
          <w:rFonts w:ascii="David" w:hAnsi="David" w:cs="David"/>
          <w:sz w:val="24"/>
          <w:szCs w:val="24"/>
          <w:rtl/>
        </w:rPr>
        <w:t xml:space="preserve"> </w:t>
      </w:r>
      <w:r w:rsidR="00EB6349">
        <w:rPr>
          <w:rFonts w:ascii="David" w:hAnsi="David" w:cs="David" w:hint="cs"/>
          <w:sz w:val="24"/>
          <w:szCs w:val="24"/>
          <w:rtl/>
        </w:rPr>
        <w:t>ו</w:t>
      </w:r>
      <w:r w:rsidR="00361A81" w:rsidRPr="00361A81">
        <w:rPr>
          <w:rFonts w:ascii="David" w:hAnsi="David" w:cs="David"/>
          <w:sz w:val="24"/>
          <w:szCs w:val="24"/>
          <w:rtl/>
        </w:rPr>
        <w:t xml:space="preserve">בכפוף לפרסום </w:t>
      </w:r>
      <w:r w:rsidR="00361A81" w:rsidRPr="00361A81">
        <w:rPr>
          <w:rFonts w:ascii="David" w:hAnsi="David" w:cs="David" w:hint="cs"/>
          <w:sz w:val="24"/>
          <w:szCs w:val="24"/>
          <w:rtl/>
        </w:rPr>
        <w:t>העניין</w:t>
      </w:r>
      <w:r w:rsidR="00361A81" w:rsidRPr="00361A81">
        <w:rPr>
          <w:rFonts w:ascii="David" w:hAnsi="David" w:cs="David"/>
          <w:sz w:val="24"/>
          <w:szCs w:val="24"/>
          <w:rtl/>
        </w:rPr>
        <w:t xml:space="preserve"> (אשר יאפשר לקבל התייחסויות מהציבור) ותוצאותיו</w:t>
      </w:r>
      <w:r w:rsidR="007A1B60">
        <w:rPr>
          <w:rFonts w:ascii="David" w:hAnsi="David" w:cs="David" w:hint="cs"/>
          <w:sz w:val="24"/>
          <w:szCs w:val="24"/>
          <w:rtl/>
        </w:rPr>
        <w:t xml:space="preserve">. </w:t>
      </w:r>
      <w:r>
        <w:rPr>
          <w:rFonts w:ascii="David" w:hAnsi="David" w:cs="David" w:hint="cs"/>
          <w:sz w:val="24"/>
          <w:szCs w:val="24"/>
          <w:rtl/>
        </w:rPr>
        <w:t>מכאן פרסום זה</w:t>
      </w:r>
      <w:r w:rsidR="00361A81" w:rsidRPr="00361A81">
        <w:rPr>
          <w:rFonts w:ascii="David" w:hAnsi="David" w:cs="David"/>
          <w:sz w:val="24"/>
          <w:szCs w:val="24"/>
          <w:rtl/>
        </w:rPr>
        <w:t>.</w:t>
      </w:r>
    </w:p>
    <w:p w14:paraId="41AAC6B8" w14:textId="0C225591" w:rsidR="00A12620" w:rsidRDefault="00A12620" w:rsidP="00361A81">
      <w:pPr>
        <w:spacing w:line="360" w:lineRule="auto"/>
        <w:jc w:val="both"/>
        <w:rPr>
          <w:rFonts w:ascii="David" w:hAnsi="David" w:cs="David"/>
          <w:sz w:val="24"/>
          <w:szCs w:val="24"/>
          <w:rtl/>
        </w:rPr>
      </w:pPr>
    </w:p>
    <w:p w14:paraId="6083FB79" w14:textId="46F1C339" w:rsidR="00A12620" w:rsidRPr="00EF7F74" w:rsidRDefault="000C5495" w:rsidP="00A12620">
      <w:pPr>
        <w:spacing w:line="360" w:lineRule="auto"/>
        <w:jc w:val="both"/>
        <w:rPr>
          <w:rFonts w:ascii="David" w:eastAsia="Times New Roman" w:hAnsi="David" w:cs="David"/>
          <w:sz w:val="24"/>
          <w:szCs w:val="24"/>
          <w:rtl/>
        </w:rPr>
      </w:pPr>
      <w:r>
        <w:rPr>
          <w:rFonts w:ascii="David" w:eastAsia="Times New Roman" w:hAnsi="David" w:cs="David" w:hint="cs"/>
          <w:sz w:val="24"/>
          <w:szCs w:val="24"/>
          <w:rtl/>
        </w:rPr>
        <w:t xml:space="preserve">לשלמות התמונה </w:t>
      </w:r>
      <w:proofErr w:type="spellStart"/>
      <w:r>
        <w:rPr>
          <w:rFonts w:ascii="David" w:eastAsia="Times New Roman" w:hAnsi="David" w:cs="David" w:hint="cs"/>
          <w:sz w:val="24"/>
          <w:szCs w:val="24"/>
          <w:rtl/>
        </w:rPr>
        <w:t>יצויין</w:t>
      </w:r>
      <w:proofErr w:type="spellEnd"/>
      <w:r>
        <w:rPr>
          <w:rFonts w:ascii="David" w:eastAsia="Times New Roman" w:hAnsi="David" w:cs="David" w:hint="cs"/>
          <w:sz w:val="24"/>
          <w:szCs w:val="24"/>
          <w:rtl/>
        </w:rPr>
        <w:t xml:space="preserve">, כי </w:t>
      </w:r>
      <w:r w:rsidR="00A12620">
        <w:rPr>
          <w:rFonts w:ascii="David" w:eastAsia="Times New Roman" w:hAnsi="David" w:cs="David" w:hint="cs"/>
          <w:sz w:val="24"/>
          <w:szCs w:val="24"/>
          <w:rtl/>
        </w:rPr>
        <w:t xml:space="preserve">ביום </w:t>
      </w:r>
      <w:r w:rsidR="00CC3D46">
        <w:rPr>
          <w:rFonts w:ascii="David" w:eastAsia="Times New Roman" w:hAnsi="David" w:cs="David"/>
          <w:sz w:val="24"/>
          <w:szCs w:val="24"/>
        </w:rPr>
        <w:t>3.2.2026</w:t>
      </w:r>
      <w:r w:rsidR="00A12620">
        <w:rPr>
          <w:rFonts w:ascii="David" w:eastAsia="Times New Roman" w:hAnsi="David" w:cs="David" w:hint="cs"/>
          <w:sz w:val="24"/>
          <w:szCs w:val="24"/>
          <w:rtl/>
        </w:rPr>
        <w:t xml:space="preserve"> התקבל אישורה של </w:t>
      </w:r>
      <w:r w:rsidR="00A12620" w:rsidRPr="00EF7F74">
        <w:rPr>
          <w:rFonts w:ascii="David" w:eastAsia="Times New Roman" w:hAnsi="David" w:cs="David" w:hint="eastAsia"/>
          <w:sz w:val="24"/>
          <w:szCs w:val="24"/>
          <w:rtl/>
        </w:rPr>
        <w:t>ועדת</w:t>
      </w:r>
      <w:r w:rsidR="00A12620" w:rsidRPr="00EF7F74">
        <w:rPr>
          <w:rFonts w:ascii="David" w:eastAsia="Times New Roman" w:hAnsi="David" w:cs="David"/>
          <w:sz w:val="24"/>
          <w:szCs w:val="24"/>
          <w:rtl/>
        </w:rPr>
        <w:t xml:space="preserve"> הכספים של הכנסת </w:t>
      </w:r>
      <w:r w:rsidRPr="00EF7F74">
        <w:rPr>
          <w:rFonts w:ascii="David" w:eastAsia="Times New Roman" w:hAnsi="David" w:cs="David"/>
          <w:sz w:val="24"/>
          <w:szCs w:val="24"/>
          <w:rtl/>
        </w:rPr>
        <w:t xml:space="preserve">לפי סעיף 59ב(ח) לחוק החברות הממשלתיות </w:t>
      </w:r>
      <w:r w:rsidR="00A12620" w:rsidRPr="00EF7F74">
        <w:rPr>
          <w:rFonts w:ascii="David" w:eastAsia="Times New Roman" w:hAnsi="David" w:cs="David"/>
          <w:sz w:val="24"/>
          <w:szCs w:val="24"/>
          <w:rtl/>
        </w:rPr>
        <w:t xml:space="preserve">לדרך ההפרטה </w:t>
      </w:r>
      <w:r w:rsidR="00A12620">
        <w:rPr>
          <w:rFonts w:ascii="David" w:eastAsia="Times New Roman" w:hAnsi="David" w:cs="David" w:hint="cs"/>
          <w:sz w:val="24"/>
          <w:szCs w:val="24"/>
          <w:rtl/>
        </w:rPr>
        <w:t>כאמור</w:t>
      </w:r>
      <w:r w:rsidR="00A12620" w:rsidRPr="00EF7F74">
        <w:rPr>
          <w:rFonts w:ascii="David" w:eastAsia="Times New Roman" w:hAnsi="David" w:cs="David"/>
          <w:sz w:val="24"/>
          <w:szCs w:val="24"/>
          <w:rtl/>
        </w:rPr>
        <w:t xml:space="preserve">. </w:t>
      </w:r>
    </w:p>
    <w:p w14:paraId="1C39627C" w14:textId="77777777" w:rsidR="00A12620" w:rsidRDefault="00A12620" w:rsidP="00361A81">
      <w:pPr>
        <w:spacing w:line="360" w:lineRule="auto"/>
        <w:jc w:val="both"/>
        <w:rPr>
          <w:rFonts w:ascii="David" w:hAnsi="David" w:cs="David"/>
          <w:sz w:val="24"/>
          <w:szCs w:val="24"/>
          <w:rtl/>
        </w:rPr>
      </w:pPr>
    </w:p>
    <w:p w14:paraId="410E4500" w14:textId="1DD0274D" w:rsidR="00361A81" w:rsidRPr="00361A81" w:rsidRDefault="00361A81" w:rsidP="00361A81">
      <w:pPr>
        <w:spacing w:line="360" w:lineRule="auto"/>
        <w:jc w:val="both"/>
        <w:rPr>
          <w:rFonts w:ascii="David" w:hAnsi="David" w:cs="David"/>
          <w:b/>
          <w:bCs/>
          <w:sz w:val="24"/>
          <w:szCs w:val="24"/>
          <w:u w:val="single"/>
          <w:rtl/>
        </w:rPr>
      </w:pPr>
      <w:r w:rsidRPr="00361A81">
        <w:rPr>
          <w:rFonts w:ascii="David" w:hAnsi="David" w:cs="David"/>
          <w:b/>
          <w:bCs/>
          <w:sz w:val="24"/>
          <w:szCs w:val="24"/>
          <w:u w:val="single"/>
          <w:rtl/>
        </w:rPr>
        <w:t>תמצית נימוקים עיקריים למכירת החזקות המדינה בחברות לידי העירייה</w:t>
      </w:r>
    </w:p>
    <w:p w14:paraId="2B049D5B" w14:textId="2F33364E" w:rsidR="00A12620" w:rsidRPr="00A12620" w:rsidRDefault="00A12620" w:rsidP="00361A81">
      <w:pPr>
        <w:spacing w:line="360" w:lineRule="auto"/>
        <w:jc w:val="both"/>
        <w:rPr>
          <w:rFonts w:ascii="David" w:hAnsi="David" w:cs="David"/>
          <w:sz w:val="24"/>
          <w:szCs w:val="24"/>
          <w:rtl/>
        </w:rPr>
      </w:pPr>
      <w:r>
        <w:rPr>
          <w:rFonts w:ascii="David" w:hAnsi="David" w:cs="David" w:hint="cs"/>
          <w:b/>
          <w:bCs/>
          <w:sz w:val="24"/>
          <w:szCs w:val="24"/>
          <w:rtl/>
        </w:rPr>
        <w:t xml:space="preserve">החלטות ההפרטה </w:t>
      </w:r>
      <w:r w:rsidRPr="00A12620">
        <w:rPr>
          <w:rFonts w:ascii="David" w:hAnsi="David" w:cs="David" w:hint="cs"/>
          <w:sz w:val="24"/>
          <w:szCs w:val="24"/>
          <w:rtl/>
        </w:rPr>
        <w:t xml:space="preserve">שהתקבלו </w:t>
      </w:r>
      <w:r w:rsidR="000C5495">
        <w:rPr>
          <w:rFonts w:ascii="David" w:hAnsi="David" w:cs="David" w:hint="cs"/>
          <w:sz w:val="24"/>
          <w:szCs w:val="24"/>
          <w:rtl/>
        </w:rPr>
        <w:t xml:space="preserve">בוועדת השרים לענייני הפרטה </w:t>
      </w:r>
      <w:r w:rsidRPr="00A12620">
        <w:rPr>
          <w:rFonts w:ascii="David" w:hAnsi="David" w:cs="David" w:hint="cs"/>
          <w:sz w:val="24"/>
          <w:szCs w:val="24"/>
          <w:rtl/>
        </w:rPr>
        <w:t xml:space="preserve">עוד בשנת 2015 </w:t>
      </w:r>
      <w:r>
        <w:rPr>
          <w:rFonts w:ascii="David" w:hAnsi="David" w:cs="David" w:hint="cs"/>
          <w:sz w:val="24"/>
          <w:szCs w:val="24"/>
          <w:rtl/>
        </w:rPr>
        <w:t xml:space="preserve">(לגבי חברת נחמני) </w:t>
      </w:r>
      <w:r w:rsidRPr="00A12620">
        <w:rPr>
          <w:rFonts w:ascii="David" w:hAnsi="David" w:cs="David" w:hint="cs"/>
          <w:sz w:val="24"/>
          <w:szCs w:val="24"/>
          <w:rtl/>
        </w:rPr>
        <w:t xml:space="preserve">ובשנת 2018 </w:t>
      </w:r>
      <w:r>
        <w:rPr>
          <w:rFonts w:ascii="David" w:hAnsi="David" w:cs="David" w:hint="cs"/>
          <w:sz w:val="24"/>
          <w:szCs w:val="24"/>
          <w:rtl/>
        </w:rPr>
        <w:t>(לגבי חברת הבימה) קבעו כי</w:t>
      </w:r>
      <w:r w:rsidR="0070333D">
        <w:rPr>
          <w:rFonts w:ascii="David" w:hAnsi="David" w:cs="David" w:hint="cs"/>
          <w:sz w:val="24"/>
          <w:szCs w:val="24"/>
          <w:rtl/>
        </w:rPr>
        <w:t xml:space="preserve"> המדינה תמכור את אחזקותיה בחברות לעיריית תל אביב או לתאגיד עירוני בשליטתה המלאה.</w:t>
      </w:r>
      <w:r>
        <w:rPr>
          <w:rFonts w:ascii="David" w:hAnsi="David" w:cs="David" w:hint="cs"/>
          <w:sz w:val="24"/>
          <w:szCs w:val="24"/>
          <w:rtl/>
        </w:rPr>
        <w:t xml:space="preserve"> </w:t>
      </w:r>
    </w:p>
    <w:p w14:paraId="55808226" w14:textId="29260087" w:rsidR="00361A81" w:rsidRDefault="00A12620" w:rsidP="00361A81">
      <w:pPr>
        <w:spacing w:line="360" w:lineRule="auto"/>
        <w:jc w:val="both"/>
        <w:rPr>
          <w:rFonts w:ascii="David" w:hAnsi="David" w:cs="David"/>
          <w:sz w:val="24"/>
          <w:szCs w:val="24"/>
          <w:rtl/>
        </w:rPr>
      </w:pPr>
      <w:r>
        <w:rPr>
          <w:rFonts w:ascii="David" w:hAnsi="David" w:cs="David" w:hint="cs"/>
          <w:b/>
          <w:bCs/>
          <w:sz w:val="24"/>
          <w:szCs w:val="24"/>
          <w:rtl/>
        </w:rPr>
        <w:t xml:space="preserve">בנוסף, </w:t>
      </w:r>
      <w:r w:rsidR="00361A81" w:rsidRPr="00D011ED">
        <w:rPr>
          <w:rFonts w:ascii="David" w:hAnsi="David" w:cs="David"/>
          <w:b/>
          <w:bCs/>
          <w:sz w:val="24"/>
          <w:szCs w:val="24"/>
          <w:rtl/>
        </w:rPr>
        <w:t xml:space="preserve">המבנה התאגידי </w:t>
      </w:r>
      <w:r w:rsidR="00361A81" w:rsidRPr="00D011ED">
        <w:rPr>
          <w:rFonts w:ascii="David" w:hAnsi="David" w:cs="David"/>
          <w:sz w:val="24"/>
          <w:szCs w:val="24"/>
          <w:rtl/>
        </w:rPr>
        <w:t xml:space="preserve">בשתי החברות </w:t>
      </w:r>
      <w:r>
        <w:rPr>
          <w:rFonts w:ascii="David" w:hAnsi="David" w:cs="David" w:hint="cs"/>
          <w:sz w:val="24"/>
          <w:szCs w:val="24"/>
          <w:rtl/>
        </w:rPr>
        <w:t>הוא כזה ש</w:t>
      </w:r>
      <w:r w:rsidR="00361A81" w:rsidRPr="00D011ED">
        <w:rPr>
          <w:rFonts w:ascii="David" w:hAnsi="David" w:cs="David"/>
          <w:sz w:val="24"/>
          <w:szCs w:val="24"/>
          <w:rtl/>
        </w:rPr>
        <w:t>קיימת בעלות משותפת של המדינה והעירייה (50% לכל צד), ללא מנגנון הכרעה למדינה</w:t>
      </w:r>
      <w:r w:rsidR="000C5495">
        <w:rPr>
          <w:rFonts w:ascii="David" w:hAnsi="David" w:cs="David" w:hint="cs"/>
          <w:sz w:val="24"/>
          <w:szCs w:val="24"/>
          <w:rtl/>
        </w:rPr>
        <w:t xml:space="preserve">. בנוסף קיימת </w:t>
      </w:r>
      <w:r w:rsidR="000C5495" w:rsidRPr="001F4BD6">
        <w:rPr>
          <w:rFonts w:ascii="David" w:hAnsi="David" w:cs="David" w:hint="eastAsia"/>
          <w:b/>
          <w:bCs/>
          <w:sz w:val="24"/>
          <w:szCs w:val="24"/>
          <w:rtl/>
        </w:rPr>
        <w:t>מגבלת</w:t>
      </w:r>
      <w:r w:rsidR="000C5495" w:rsidRPr="001F4BD6">
        <w:rPr>
          <w:rFonts w:ascii="David" w:hAnsi="David" w:cs="David"/>
          <w:b/>
          <w:bCs/>
          <w:sz w:val="24"/>
          <w:szCs w:val="24"/>
          <w:rtl/>
        </w:rPr>
        <w:t xml:space="preserve"> </w:t>
      </w:r>
      <w:r w:rsidR="000C5495" w:rsidRPr="001F4BD6">
        <w:rPr>
          <w:rFonts w:ascii="David" w:hAnsi="David" w:cs="David" w:hint="eastAsia"/>
          <w:b/>
          <w:bCs/>
          <w:sz w:val="24"/>
          <w:szCs w:val="24"/>
          <w:rtl/>
        </w:rPr>
        <w:t>סחירות</w:t>
      </w:r>
      <w:r w:rsidR="000C5495">
        <w:rPr>
          <w:rFonts w:ascii="David" w:hAnsi="David" w:cs="David" w:hint="cs"/>
          <w:sz w:val="24"/>
          <w:szCs w:val="24"/>
          <w:rtl/>
        </w:rPr>
        <w:t xml:space="preserve"> נוכח </w:t>
      </w:r>
      <w:r w:rsidR="0070333D">
        <w:rPr>
          <w:rFonts w:ascii="David" w:hAnsi="David" w:cs="David" w:hint="cs"/>
          <w:sz w:val="24"/>
          <w:szCs w:val="24"/>
          <w:rtl/>
        </w:rPr>
        <w:t>זכות תקנונית הדורשת את הסכמת העירייה בכל העברת מניות</w:t>
      </w:r>
      <w:r w:rsidR="00361A81" w:rsidRPr="00D011ED">
        <w:rPr>
          <w:rFonts w:ascii="David" w:hAnsi="David" w:cs="David"/>
          <w:sz w:val="24"/>
          <w:szCs w:val="24"/>
          <w:rtl/>
        </w:rPr>
        <w:t xml:space="preserve">. </w:t>
      </w:r>
      <w:r w:rsidR="000C5495">
        <w:rPr>
          <w:rFonts w:ascii="David" w:hAnsi="David" w:cs="David" w:hint="cs"/>
          <w:sz w:val="24"/>
          <w:szCs w:val="24"/>
          <w:rtl/>
        </w:rPr>
        <w:t>היבטים אלה</w:t>
      </w:r>
      <w:r w:rsidR="00361A81" w:rsidRPr="00D011ED">
        <w:rPr>
          <w:rFonts w:ascii="David" w:hAnsi="David" w:cs="David"/>
          <w:sz w:val="24"/>
          <w:szCs w:val="24"/>
          <w:rtl/>
        </w:rPr>
        <w:t>, בשילוב עם העובדה שהנכסים העיקריים (הסכמי חכירה או מקרקעין מופקעים) נמצאים בשליטתה המוניציפלית או הקניינית של העירייה, יוצר</w:t>
      </w:r>
      <w:r w:rsidR="000C5495">
        <w:rPr>
          <w:rFonts w:ascii="David" w:hAnsi="David" w:cs="David" w:hint="cs"/>
          <w:sz w:val="24"/>
          <w:szCs w:val="24"/>
          <w:rtl/>
        </w:rPr>
        <w:t>ים</w:t>
      </w:r>
      <w:r w:rsidR="00361A81" w:rsidRPr="00D011ED">
        <w:rPr>
          <w:rFonts w:ascii="David" w:hAnsi="David" w:cs="David"/>
          <w:sz w:val="24"/>
          <w:szCs w:val="24"/>
          <w:rtl/>
        </w:rPr>
        <w:t xml:space="preserve"> מגבלה אינהרנטית על סחירות המניות לצד ג' כלשהו. העירייה מחזיקה בזכות וטו, וכל רוכש פוטנציאלי ייאלץ להתמודד עם שותף בעל אינטרסים נוגדים.</w:t>
      </w:r>
    </w:p>
    <w:p w14:paraId="4A961FF0" w14:textId="394E1CB4" w:rsidR="00361A81" w:rsidRDefault="00361A81" w:rsidP="00361A81">
      <w:pPr>
        <w:spacing w:line="360" w:lineRule="auto"/>
        <w:jc w:val="both"/>
        <w:rPr>
          <w:rFonts w:ascii="David" w:hAnsi="David" w:cs="David"/>
          <w:sz w:val="24"/>
          <w:szCs w:val="24"/>
          <w:rtl/>
        </w:rPr>
      </w:pPr>
      <w:r w:rsidRPr="00361A81">
        <w:rPr>
          <w:rFonts w:ascii="David" w:hAnsi="David" w:cs="David"/>
          <w:b/>
          <w:bCs/>
          <w:sz w:val="24"/>
          <w:szCs w:val="24"/>
          <w:rtl/>
        </w:rPr>
        <w:t xml:space="preserve">פתרון מחלוקות משפטיות </w:t>
      </w:r>
      <w:r w:rsidR="009E1DAE">
        <w:rPr>
          <w:rFonts w:ascii="David" w:hAnsi="David" w:cs="David" w:hint="cs"/>
          <w:b/>
          <w:bCs/>
          <w:sz w:val="24"/>
          <w:szCs w:val="24"/>
          <w:rtl/>
        </w:rPr>
        <w:t>הנמשכות שנים</w:t>
      </w:r>
      <w:r w:rsidR="000C5495">
        <w:rPr>
          <w:rFonts w:ascii="David" w:hAnsi="David" w:cs="David" w:hint="cs"/>
          <w:sz w:val="24"/>
          <w:szCs w:val="24"/>
          <w:rtl/>
        </w:rPr>
        <w:t>:</w:t>
      </w:r>
      <w:r w:rsidRPr="00361A81">
        <w:rPr>
          <w:rFonts w:ascii="David" w:hAnsi="David" w:cs="David"/>
          <w:sz w:val="24"/>
          <w:szCs w:val="24"/>
          <w:rtl/>
        </w:rPr>
        <w:t xml:space="preserve"> </w:t>
      </w:r>
      <w:r w:rsidR="000B61AE">
        <w:rPr>
          <w:rFonts w:ascii="David" w:hAnsi="David" w:cs="David" w:hint="cs"/>
          <w:sz w:val="24"/>
          <w:szCs w:val="24"/>
          <w:rtl/>
        </w:rPr>
        <w:t>ביחס לחברת נחמני מבוק</w:t>
      </w:r>
      <w:r w:rsidR="00A12620">
        <w:rPr>
          <w:rFonts w:ascii="David" w:hAnsi="David" w:cs="David" w:hint="cs"/>
          <w:sz w:val="24"/>
          <w:szCs w:val="24"/>
          <w:rtl/>
        </w:rPr>
        <w:t>ש</w:t>
      </w:r>
      <w:r w:rsidR="000B61AE">
        <w:rPr>
          <w:rFonts w:ascii="David" w:hAnsi="David" w:cs="David" w:hint="cs"/>
          <w:sz w:val="24"/>
          <w:szCs w:val="24"/>
          <w:rtl/>
        </w:rPr>
        <w:t xml:space="preserve"> להבהיר כי לשיטת המדינה,</w:t>
      </w:r>
      <w:r w:rsidR="00A12620">
        <w:rPr>
          <w:rFonts w:ascii="David" w:hAnsi="David" w:cs="David" w:hint="cs"/>
          <w:sz w:val="24"/>
          <w:szCs w:val="24"/>
          <w:rtl/>
        </w:rPr>
        <w:t xml:space="preserve"> </w:t>
      </w:r>
      <w:r w:rsidRPr="00361A81">
        <w:rPr>
          <w:rFonts w:ascii="David" w:hAnsi="David" w:cs="David"/>
          <w:sz w:val="24"/>
          <w:szCs w:val="24"/>
          <w:rtl/>
        </w:rPr>
        <w:t xml:space="preserve">מכירה לעירייה במתווה מוסכם היא הדרך </w:t>
      </w:r>
      <w:r w:rsidR="00A12620">
        <w:rPr>
          <w:rFonts w:ascii="David" w:hAnsi="David" w:cs="David" w:hint="cs"/>
          <w:sz w:val="24"/>
          <w:szCs w:val="24"/>
          <w:rtl/>
        </w:rPr>
        <w:t>המיטבית</w:t>
      </w:r>
      <w:r w:rsidR="00A12620" w:rsidRPr="00361A81">
        <w:rPr>
          <w:rFonts w:ascii="David" w:hAnsi="David" w:cs="David"/>
          <w:sz w:val="24"/>
          <w:szCs w:val="24"/>
          <w:rtl/>
        </w:rPr>
        <w:t xml:space="preserve"> </w:t>
      </w:r>
      <w:r w:rsidRPr="00361A81">
        <w:rPr>
          <w:rFonts w:ascii="David" w:hAnsi="David" w:cs="David"/>
          <w:sz w:val="24"/>
          <w:szCs w:val="24"/>
          <w:rtl/>
        </w:rPr>
        <w:t>לממש ערך כלשהו עבור הציבור מבלי להיגרר להליכים משפטיים יקרים</w:t>
      </w:r>
      <w:r w:rsidR="000C5495">
        <w:rPr>
          <w:rFonts w:ascii="David" w:hAnsi="David" w:cs="David" w:hint="cs"/>
          <w:sz w:val="24"/>
          <w:szCs w:val="24"/>
          <w:rtl/>
        </w:rPr>
        <w:t>, ארוכים</w:t>
      </w:r>
      <w:r w:rsidRPr="00361A81">
        <w:rPr>
          <w:rFonts w:ascii="David" w:hAnsi="David" w:cs="David"/>
          <w:sz w:val="24"/>
          <w:szCs w:val="24"/>
          <w:rtl/>
        </w:rPr>
        <w:t xml:space="preserve"> וחסרי ודאות. בדומה לכך, בחברת הבימה, העברת הבעלות </w:t>
      </w:r>
      <w:r w:rsidR="00A12620">
        <w:rPr>
          <w:rFonts w:ascii="David" w:hAnsi="David" w:cs="David" w:hint="cs"/>
          <w:sz w:val="24"/>
          <w:szCs w:val="24"/>
          <w:rtl/>
        </w:rPr>
        <w:t xml:space="preserve">לעירייה </w:t>
      </w:r>
      <w:r w:rsidRPr="00361A81">
        <w:rPr>
          <w:rFonts w:ascii="David" w:hAnsi="David" w:cs="David"/>
          <w:sz w:val="24"/>
          <w:szCs w:val="24"/>
          <w:rtl/>
        </w:rPr>
        <w:t>תסדיר את מערכת היחסים החוזית ארוכת השנים מול העירייה כבעלת הקרקע.</w:t>
      </w:r>
    </w:p>
    <w:p w14:paraId="6AA316A6" w14:textId="79BF4C3E" w:rsidR="00361A81" w:rsidRPr="00361A81" w:rsidRDefault="00361A81" w:rsidP="00361A81">
      <w:pPr>
        <w:spacing w:line="360" w:lineRule="auto"/>
        <w:jc w:val="both"/>
        <w:rPr>
          <w:rFonts w:ascii="David" w:hAnsi="David" w:cs="David"/>
          <w:b/>
          <w:bCs/>
          <w:sz w:val="24"/>
          <w:szCs w:val="24"/>
          <w:u w:val="single"/>
          <w:rtl/>
        </w:rPr>
      </w:pPr>
      <w:r w:rsidRPr="00361A81">
        <w:rPr>
          <w:rFonts w:ascii="David" w:hAnsi="David" w:cs="David"/>
          <w:b/>
          <w:bCs/>
          <w:sz w:val="24"/>
          <w:szCs w:val="24"/>
          <w:u w:val="single"/>
          <w:rtl/>
        </w:rPr>
        <w:t>מתווה המכירה</w:t>
      </w:r>
    </w:p>
    <w:p w14:paraId="23A83671" w14:textId="128F2721" w:rsidR="00361A81" w:rsidRDefault="00361A81" w:rsidP="00361A81">
      <w:pPr>
        <w:spacing w:line="360" w:lineRule="auto"/>
        <w:jc w:val="both"/>
        <w:rPr>
          <w:rFonts w:ascii="David" w:eastAsia="Times New Roman" w:hAnsi="David" w:cs="David"/>
          <w:sz w:val="24"/>
          <w:szCs w:val="24"/>
          <w:rtl/>
        </w:rPr>
      </w:pPr>
      <w:r w:rsidRPr="00361A81">
        <w:rPr>
          <w:rFonts w:ascii="David" w:eastAsia="Times New Roman" w:hAnsi="David" w:cs="David" w:hint="cs"/>
          <w:sz w:val="24"/>
          <w:szCs w:val="24"/>
          <w:rtl/>
        </w:rPr>
        <w:lastRenderedPageBreak/>
        <w:t>מכירת כל החזקות המדינה בהון המניות ובאמצעי השליטה ב</w:t>
      </w:r>
      <w:r w:rsidR="00410109">
        <w:rPr>
          <w:rFonts w:ascii="David" w:eastAsia="Times New Roman" w:hAnsi="David" w:cs="David" w:hint="cs"/>
          <w:sz w:val="24"/>
          <w:szCs w:val="24"/>
          <w:rtl/>
        </w:rPr>
        <w:t>כל אחת מה</w:t>
      </w:r>
      <w:r w:rsidRPr="00361A81">
        <w:rPr>
          <w:rFonts w:ascii="David" w:eastAsia="Times New Roman" w:hAnsi="David" w:cs="David" w:hint="cs"/>
          <w:sz w:val="24"/>
          <w:szCs w:val="24"/>
          <w:rtl/>
        </w:rPr>
        <w:t xml:space="preserve">חברות, מתוכננת להתבצע כמקשה אחת, לידי </w:t>
      </w:r>
      <w:r>
        <w:rPr>
          <w:rFonts w:ascii="David" w:eastAsia="Times New Roman" w:hAnsi="David" w:cs="David" w:hint="cs"/>
          <w:sz w:val="24"/>
          <w:szCs w:val="24"/>
          <w:rtl/>
        </w:rPr>
        <w:t>העירייה</w:t>
      </w:r>
      <w:r w:rsidRPr="00361A81">
        <w:rPr>
          <w:rFonts w:ascii="David" w:eastAsia="Times New Roman" w:hAnsi="David" w:cs="David" w:hint="cs"/>
          <w:sz w:val="24"/>
          <w:szCs w:val="24"/>
          <w:rtl/>
        </w:rPr>
        <w:t xml:space="preserve">, זאת בכפוף לקבלת </w:t>
      </w:r>
      <w:r w:rsidRPr="00361A81">
        <w:rPr>
          <w:rFonts w:ascii="David" w:eastAsia="Times New Roman" w:hAnsi="David" w:cs="David"/>
          <w:sz w:val="24"/>
          <w:szCs w:val="24"/>
          <w:rtl/>
        </w:rPr>
        <w:t>פטור מחובת עריכת מכרז לפי סעיף 3(14) לתקנות חובת המכרזים</w:t>
      </w:r>
      <w:r w:rsidR="009E1DAE">
        <w:rPr>
          <w:rFonts w:ascii="David" w:eastAsia="Times New Roman" w:hAnsi="David" w:cs="David" w:hint="cs"/>
          <w:sz w:val="24"/>
          <w:szCs w:val="24"/>
          <w:rtl/>
        </w:rPr>
        <w:t xml:space="preserve"> וכלל האישורים הנדרשים</w:t>
      </w:r>
      <w:r w:rsidRPr="00361A81">
        <w:rPr>
          <w:rFonts w:ascii="David" w:eastAsia="Times New Roman" w:hAnsi="David" w:cs="David" w:hint="cs"/>
          <w:sz w:val="24"/>
          <w:szCs w:val="24"/>
          <w:rtl/>
        </w:rPr>
        <w:t>.</w:t>
      </w:r>
    </w:p>
    <w:p w14:paraId="3ADCDB1D" w14:textId="647CC290" w:rsidR="00361A81" w:rsidRDefault="00361A81" w:rsidP="00361A81">
      <w:pPr>
        <w:spacing w:line="360" w:lineRule="auto"/>
        <w:jc w:val="both"/>
        <w:rPr>
          <w:rFonts w:ascii="David" w:eastAsia="Times New Roman" w:hAnsi="David" w:cs="David"/>
          <w:sz w:val="24"/>
          <w:szCs w:val="24"/>
          <w:rtl/>
        </w:rPr>
      </w:pPr>
      <w:r w:rsidRPr="00D71BF8">
        <w:rPr>
          <w:rFonts w:ascii="David" w:eastAsia="Times New Roman" w:hAnsi="David" w:cs="David"/>
          <w:sz w:val="24"/>
          <w:szCs w:val="24"/>
          <w:rtl/>
        </w:rPr>
        <w:t>רשות החברות תפעל לגיבוש הסכמי מכר שיובאו לאישור הוועדה למכירת מניות המדינה</w:t>
      </w:r>
      <w:r w:rsidR="00410109">
        <w:rPr>
          <w:rFonts w:ascii="David" w:eastAsia="Times New Roman" w:hAnsi="David" w:cs="David" w:hint="cs"/>
          <w:sz w:val="24"/>
          <w:szCs w:val="24"/>
          <w:rtl/>
        </w:rPr>
        <w:t xml:space="preserve"> אשר תשקול בעניין זה, בין היתר, שתי </w:t>
      </w:r>
      <w:r w:rsidRPr="00D71BF8">
        <w:rPr>
          <w:rFonts w:ascii="David" w:eastAsia="Times New Roman" w:hAnsi="David" w:cs="David"/>
          <w:sz w:val="24"/>
          <w:szCs w:val="24"/>
          <w:rtl/>
        </w:rPr>
        <w:t>הערכות שווי שנערכו</w:t>
      </w:r>
      <w:r w:rsidR="00410109">
        <w:rPr>
          <w:rFonts w:ascii="David" w:eastAsia="Times New Roman" w:hAnsi="David" w:cs="David" w:hint="cs"/>
          <w:sz w:val="24"/>
          <w:szCs w:val="24"/>
          <w:rtl/>
        </w:rPr>
        <w:t xml:space="preserve"> לאחרונה לחברות</w:t>
      </w:r>
      <w:r w:rsidRPr="00D71BF8">
        <w:rPr>
          <w:rFonts w:ascii="David" w:eastAsia="Times New Roman" w:hAnsi="David" w:cs="David"/>
          <w:sz w:val="24"/>
          <w:szCs w:val="24"/>
          <w:rtl/>
        </w:rPr>
        <w:t xml:space="preserve"> ובניכוי חובות מוכחים של החברות כלפי העירייה.</w:t>
      </w:r>
    </w:p>
    <w:p w14:paraId="5E5A5D47" w14:textId="77777777" w:rsidR="00AE7453" w:rsidRDefault="00AE7453" w:rsidP="00361A81">
      <w:pPr>
        <w:spacing w:line="360" w:lineRule="auto"/>
        <w:jc w:val="both"/>
        <w:rPr>
          <w:rFonts w:ascii="David" w:eastAsia="Times New Roman" w:hAnsi="David" w:cs="David"/>
          <w:b/>
          <w:bCs/>
          <w:sz w:val="24"/>
          <w:szCs w:val="24"/>
          <w:u w:val="single"/>
          <w:rtl/>
        </w:rPr>
      </w:pPr>
    </w:p>
    <w:p w14:paraId="1A08546F" w14:textId="35321B9E" w:rsidR="00361A81" w:rsidRPr="00361A81" w:rsidRDefault="00361A81" w:rsidP="00361A81">
      <w:pPr>
        <w:spacing w:line="360" w:lineRule="auto"/>
        <w:jc w:val="both"/>
        <w:rPr>
          <w:rFonts w:ascii="David" w:eastAsia="Times New Roman" w:hAnsi="David" w:cs="David"/>
          <w:b/>
          <w:bCs/>
          <w:sz w:val="24"/>
          <w:szCs w:val="24"/>
          <w:u w:val="single"/>
        </w:rPr>
      </w:pPr>
      <w:r w:rsidRPr="00361A81">
        <w:rPr>
          <w:rFonts w:ascii="David" w:eastAsia="Times New Roman" w:hAnsi="David" w:cs="David"/>
          <w:b/>
          <w:bCs/>
          <w:sz w:val="24"/>
          <w:szCs w:val="24"/>
          <w:u w:val="single"/>
          <w:rtl/>
        </w:rPr>
        <w:t>אופן ומועד הגשת השגות</w:t>
      </w:r>
    </w:p>
    <w:p w14:paraId="685F79F2" w14:textId="77777777" w:rsidR="00361A81" w:rsidRPr="00361A81" w:rsidRDefault="00361A81" w:rsidP="00361A81">
      <w:pPr>
        <w:spacing w:before="100" w:beforeAutospacing="1" w:after="100" w:afterAutospacing="1" w:line="360" w:lineRule="auto"/>
        <w:jc w:val="both"/>
        <w:rPr>
          <w:rFonts w:ascii="David" w:eastAsia="Times New Roman" w:hAnsi="David" w:cs="David"/>
          <w:sz w:val="24"/>
          <w:szCs w:val="24"/>
        </w:rPr>
      </w:pPr>
      <w:r w:rsidRPr="00361A81">
        <w:rPr>
          <w:rFonts w:ascii="David" w:eastAsia="Times New Roman" w:hAnsi="David" w:cs="David"/>
          <w:sz w:val="24"/>
          <w:szCs w:val="24"/>
          <w:rtl/>
        </w:rPr>
        <w:t>אדם ו/או חברה אשר מעוניינים להעלות השגות בעניין רשאים לפנות לרשות בנושא וזאת לא יאוחר מחלוף ארבעה עשר (14) ימי עבודה מיום פרסום הודעה זו</w:t>
      </w:r>
      <w:r w:rsidRPr="00361A81">
        <w:rPr>
          <w:rFonts w:ascii="David" w:eastAsia="Times New Roman" w:hAnsi="David" w:cs="David"/>
          <w:sz w:val="24"/>
          <w:szCs w:val="24"/>
        </w:rPr>
        <w:t>.</w:t>
      </w:r>
    </w:p>
    <w:p w14:paraId="31D62DF4" w14:textId="0D5E2F72" w:rsidR="00361A81" w:rsidRPr="00361A81" w:rsidRDefault="00361A81" w:rsidP="006C1C97">
      <w:pPr>
        <w:spacing w:before="100" w:beforeAutospacing="1" w:after="100" w:afterAutospacing="1" w:line="360" w:lineRule="auto"/>
        <w:jc w:val="both"/>
        <w:rPr>
          <w:rFonts w:ascii="David" w:eastAsia="Times New Roman" w:hAnsi="David" w:cs="David"/>
          <w:sz w:val="24"/>
          <w:szCs w:val="24"/>
        </w:rPr>
      </w:pPr>
      <w:r w:rsidRPr="00361A81">
        <w:rPr>
          <w:rFonts w:ascii="David" w:eastAsia="Times New Roman" w:hAnsi="David" w:cs="David"/>
          <w:sz w:val="24"/>
          <w:szCs w:val="24"/>
          <w:rtl/>
        </w:rPr>
        <w:t>פניות כאמור יש להעביר בכתב בלבד, עבור הרשות, באמצעות הדואר האלקטרוני שכתובת</w:t>
      </w:r>
      <w:r w:rsidR="00AE7453">
        <w:rPr>
          <w:rFonts w:ascii="David" w:eastAsia="Times New Roman" w:hAnsi="David" w:cs="David" w:hint="cs"/>
          <w:sz w:val="24"/>
          <w:szCs w:val="24"/>
          <w:rtl/>
        </w:rPr>
        <w:t>ו:</w:t>
      </w:r>
      <w:r w:rsidRPr="00361A81">
        <w:rPr>
          <w:rFonts w:ascii="David" w:eastAsia="Times New Roman" w:hAnsi="David" w:cs="David"/>
          <w:sz w:val="24"/>
          <w:szCs w:val="24"/>
        </w:rPr>
        <w:t xml:space="preserve"> </w:t>
      </w:r>
      <w:hyperlink r:id="rId7" w:history="1">
        <w:r w:rsidR="006C1C97" w:rsidRPr="006C1C97">
          <w:rPr>
            <w:rStyle w:val="Hyperlink"/>
          </w:rPr>
          <w:t>kranotzeev@gca.gov.il</w:t>
        </w:r>
      </w:hyperlink>
      <w:r w:rsidR="00D011ED">
        <w:rPr>
          <w:rFonts w:ascii="David" w:eastAsia="Times New Roman" w:hAnsi="David" w:cs="David" w:hint="cs"/>
          <w:sz w:val="24"/>
          <w:szCs w:val="24"/>
          <w:rtl/>
        </w:rPr>
        <w:t xml:space="preserve"> </w:t>
      </w:r>
      <w:r w:rsidRPr="00361A81">
        <w:rPr>
          <w:rFonts w:ascii="David" w:eastAsia="Times New Roman" w:hAnsi="David" w:cs="David"/>
          <w:sz w:val="24"/>
          <w:szCs w:val="24"/>
          <w:rtl/>
        </w:rPr>
        <w:t>לכל פנייה יש לצרף את פרטיו המלאים של הפונה</w:t>
      </w:r>
      <w:r w:rsidRPr="00361A81">
        <w:rPr>
          <w:rFonts w:ascii="David" w:eastAsia="Times New Roman" w:hAnsi="David" w:cs="David" w:hint="cs"/>
          <w:sz w:val="24"/>
          <w:szCs w:val="24"/>
          <w:rtl/>
        </w:rPr>
        <w:t xml:space="preserve"> </w:t>
      </w:r>
      <w:r w:rsidRPr="00361A81">
        <w:rPr>
          <w:rFonts w:ascii="David" w:eastAsia="Times New Roman" w:hAnsi="David" w:cs="David"/>
          <w:sz w:val="24"/>
          <w:szCs w:val="24"/>
          <w:rtl/>
        </w:rPr>
        <w:t>ופרטי ההתקשרות (לרבות שם מלא, ח.פ., כתובת, מספרי טלפון ודוא"ל), נימוקים מפורטים ואסמכתאות בדבר ההשגות</w:t>
      </w:r>
      <w:r w:rsidRPr="00361A81">
        <w:rPr>
          <w:rFonts w:ascii="David" w:eastAsia="Times New Roman" w:hAnsi="David" w:cs="David"/>
          <w:sz w:val="24"/>
          <w:szCs w:val="24"/>
        </w:rPr>
        <w:t>.</w:t>
      </w:r>
      <w:r w:rsidR="00410109">
        <w:rPr>
          <w:rFonts w:ascii="David" w:eastAsia="Times New Roman" w:hAnsi="David" w:cs="David" w:hint="cs"/>
          <w:sz w:val="24"/>
          <w:szCs w:val="24"/>
          <w:rtl/>
        </w:rPr>
        <w:t xml:space="preserve"> תשומת לב המגיבים כי השגות שיוגשו יכול שיפורסמו בכפוף לכל דין.</w:t>
      </w:r>
    </w:p>
    <w:p w14:paraId="6A65F1E7" w14:textId="77777777" w:rsidR="00361A81" w:rsidRPr="00361A81" w:rsidRDefault="00361A81" w:rsidP="00361A81">
      <w:pPr>
        <w:spacing w:line="360" w:lineRule="auto"/>
        <w:jc w:val="both"/>
        <w:rPr>
          <w:rFonts w:ascii="David" w:hAnsi="David" w:cs="David"/>
          <w:b/>
          <w:bCs/>
          <w:sz w:val="24"/>
          <w:szCs w:val="24"/>
        </w:rPr>
      </w:pPr>
    </w:p>
    <w:sectPr w:rsidR="00361A81" w:rsidRPr="00361A81" w:rsidSect="004812AB">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6AD58C" w14:textId="77777777" w:rsidR="00BE6C02" w:rsidRDefault="00BE6C02" w:rsidP="00361A81">
      <w:pPr>
        <w:spacing w:after="0" w:line="240" w:lineRule="auto"/>
      </w:pPr>
      <w:r>
        <w:separator/>
      </w:r>
    </w:p>
  </w:endnote>
  <w:endnote w:type="continuationSeparator" w:id="0">
    <w:p w14:paraId="3449F249" w14:textId="77777777" w:rsidR="00BE6C02" w:rsidRDefault="00BE6C02" w:rsidP="00361A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3BB845" w14:textId="77777777" w:rsidR="00BE6C02" w:rsidRDefault="00BE6C02" w:rsidP="00361A81">
      <w:pPr>
        <w:spacing w:after="0" w:line="240" w:lineRule="auto"/>
      </w:pPr>
      <w:r>
        <w:separator/>
      </w:r>
    </w:p>
  </w:footnote>
  <w:footnote w:type="continuationSeparator" w:id="0">
    <w:p w14:paraId="786F09D9" w14:textId="77777777" w:rsidR="00BE6C02" w:rsidRDefault="00BE6C02" w:rsidP="00361A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1BA04" w14:textId="77777777" w:rsidR="00361A81" w:rsidRPr="00D71BF8" w:rsidRDefault="00361A81" w:rsidP="00361A81">
    <w:pPr>
      <w:widowControl w:val="0"/>
      <w:tabs>
        <w:tab w:val="left" w:pos="32"/>
        <w:tab w:val="center" w:pos="4156"/>
        <w:tab w:val="right" w:pos="8306"/>
      </w:tabs>
      <w:spacing w:after="0" w:line="240" w:lineRule="auto"/>
      <w:ind w:left="32"/>
      <w:jc w:val="center"/>
      <w:rPr>
        <w:rFonts w:ascii="Times New Roman" w:eastAsia="Times New Roman" w:hAnsi="Times New Roman" w:cs="David"/>
        <w:sz w:val="44"/>
        <w:szCs w:val="44"/>
        <w:rtl/>
      </w:rPr>
    </w:pPr>
    <w:r w:rsidRPr="00D71BF8">
      <w:rPr>
        <w:rFonts w:ascii="Times New Roman" w:eastAsia="Times New Roman" w:hAnsi="Times New Roman" w:cs="David" w:hint="cs"/>
        <w:sz w:val="44"/>
        <w:szCs w:val="44"/>
        <w:rtl/>
      </w:rPr>
      <w:t>מדינת ישראל</w:t>
    </w:r>
  </w:p>
  <w:p w14:paraId="642A2D9A" w14:textId="77777777" w:rsidR="00361A81" w:rsidRPr="00D71BF8" w:rsidRDefault="00361A81" w:rsidP="00361A81">
    <w:pPr>
      <w:widowControl w:val="0"/>
      <w:tabs>
        <w:tab w:val="left" w:pos="32"/>
        <w:tab w:val="center" w:pos="4156"/>
        <w:tab w:val="right" w:pos="8306"/>
      </w:tabs>
      <w:spacing w:after="0" w:line="240" w:lineRule="auto"/>
      <w:ind w:left="32"/>
      <w:jc w:val="center"/>
      <w:rPr>
        <w:rFonts w:ascii="Times New Roman" w:eastAsia="Times New Roman" w:hAnsi="Times New Roman" w:cs="David"/>
        <w:sz w:val="32"/>
        <w:szCs w:val="32"/>
        <w:rtl/>
      </w:rPr>
    </w:pPr>
    <w:r w:rsidRPr="00D71BF8">
      <w:rPr>
        <w:rFonts w:ascii="Times New Roman" w:eastAsia="Times New Roman" w:hAnsi="Times New Roman" w:cs="David" w:hint="cs"/>
        <w:sz w:val="32"/>
        <w:szCs w:val="32"/>
        <w:rtl/>
      </w:rPr>
      <w:t>רשות החברות הממשלתיות</w:t>
    </w:r>
  </w:p>
  <w:p w14:paraId="41245A6A" w14:textId="77777777" w:rsidR="00361A81" w:rsidRDefault="00361A81" w:rsidP="00361A81">
    <w:pPr>
      <w:pStyle w:val="a3"/>
    </w:pPr>
  </w:p>
  <w:p w14:paraId="6A5841BD" w14:textId="77777777" w:rsidR="00361A81" w:rsidRPr="00361A81" w:rsidRDefault="00361A81" w:rsidP="00361A8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961BD"/>
    <w:multiLevelType w:val="hybridMultilevel"/>
    <w:tmpl w:val="1B1EC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C7C2912"/>
    <w:multiLevelType w:val="multilevel"/>
    <w:tmpl w:val="B6C0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A81"/>
    <w:rsid w:val="0009146F"/>
    <w:rsid w:val="000B61AE"/>
    <w:rsid w:val="000C5495"/>
    <w:rsid w:val="001F4BD6"/>
    <w:rsid w:val="0025206D"/>
    <w:rsid w:val="002C52FA"/>
    <w:rsid w:val="002F4F2D"/>
    <w:rsid w:val="003423F9"/>
    <w:rsid w:val="00361A81"/>
    <w:rsid w:val="003A3AA0"/>
    <w:rsid w:val="003A74F7"/>
    <w:rsid w:val="003D27E9"/>
    <w:rsid w:val="00410109"/>
    <w:rsid w:val="004812AB"/>
    <w:rsid w:val="004D64E8"/>
    <w:rsid w:val="00506686"/>
    <w:rsid w:val="00621782"/>
    <w:rsid w:val="0064138C"/>
    <w:rsid w:val="006C1C97"/>
    <w:rsid w:val="0070333D"/>
    <w:rsid w:val="00756231"/>
    <w:rsid w:val="007A1B60"/>
    <w:rsid w:val="007C4238"/>
    <w:rsid w:val="00804161"/>
    <w:rsid w:val="009061AD"/>
    <w:rsid w:val="00923473"/>
    <w:rsid w:val="009B19C7"/>
    <w:rsid w:val="009D3489"/>
    <w:rsid w:val="009E1DAE"/>
    <w:rsid w:val="009E61E0"/>
    <w:rsid w:val="009F3C93"/>
    <w:rsid w:val="00A12620"/>
    <w:rsid w:val="00A7194A"/>
    <w:rsid w:val="00AE7453"/>
    <w:rsid w:val="00BB027B"/>
    <w:rsid w:val="00BE6C02"/>
    <w:rsid w:val="00C222C2"/>
    <w:rsid w:val="00CC3D46"/>
    <w:rsid w:val="00D011ED"/>
    <w:rsid w:val="00D9316B"/>
    <w:rsid w:val="00DE6A18"/>
    <w:rsid w:val="00EB6349"/>
    <w:rsid w:val="00EC1EB9"/>
    <w:rsid w:val="00EF0582"/>
    <w:rsid w:val="00FD3363"/>
    <w:rsid w:val="00FE2C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DCFEB"/>
  <w15:chartTrackingRefBased/>
  <w15:docId w15:val="{DAA043D6-3C66-4148-9B72-80A497583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61A81"/>
    <w:pPr>
      <w:tabs>
        <w:tab w:val="center" w:pos="4153"/>
        <w:tab w:val="right" w:pos="8306"/>
      </w:tabs>
      <w:spacing w:after="0" w:line="240" w:lineRule="auto"/>
    </w:pPr>
  </w:style>
  <w:style w:type="character" w:customStyle="1" w:styleId="a4">
    <w:name w:val="כותרת עליונה תו"/>
    <w:basedOn w:val="a0"/>
    <w:link w:val="a3"/>
    <w:uiPriority w:val="99"/>
    <w:rsid w:val="00361A81"/>
  </w:style>
  <w:style w:type="paragraph" w:styleId="a5">
    <w:name w:val="footer"/>
    <w:basedOn w:val="a"/>
    <w:link w:val="a6"/>
    <w:uiPriority w:val="99"/>
    <w:unhideWhenUsed/>
    <w:rsid w:val="00361A81"/>
    <w:pPr>
      <w:tabs>
        <w:tab w:val="center" w:pos="4153"/>
        <w:tab w:val="right" w:pos="8306"/>
      </w:tabs>
      <w:spacing w:after="0" w:line="240" w:lineRule="auto"/>
    </w:pPr>
  </w:style>
  <w:style w:type="character" w:customStyle="1" w:styleId="a6">
    <w:name w:val="כותרת תחתונה תו"/>
    <w:basedOn w:val="a0"/>
    <w:link w:val="a5"/>
    <w:uiPriority w:val="99"/>
    <w:rsid w:val="00361A81"/>
  </w:style>
  <w:style w:type="paragraph" w:styleId="a7">
    <w:name w:val="List Paragraph"/>
    <w:aliases w:val="style 2"/>
    <w:basedOn w:val="a"/>
    <w:link w:val="a8"/>
    <w:uiPriority w:val="34"/>
    <w:qFormat/>
    <w:rsid w:val="00361A81"/>
    <w:pPr>
      <w:ind w:left="720"/>
      <w:contextualSpacing/>
    </w:pPr>
  </w:style>
  <w:style w:type="character" w:styleId="a9">
    <w:name w:val="annotation reference"/>
    <w:basedOn w:val="a0"/>
    <w:uiPriority w:val="99"/>
    <w:semiHidden/>
    <w:unhideWhenUsed/>
    <w:rsid w:val="00EB6349"/>
    <w:rPr>
      <w:sz w:val="16"/>
      <w:szCs w:val="16"/>
    </w:rPr>
  </w:style>
  <w:style w:type="paragraph" w:styleId="aa">
    <w:name w:val="annotation text"/>
    <w:basedOn w:val="a"/>
    <w:link w:val="ab"/>
    <w:uiPriority w:val="99"/>
    <w:semiHidden/>
    <w:unhideWhenUsed/>
    <w:rsid w:val="00EB6349"/>
    <w:pPr>
      <w:spacing w:line="240" w:lineRule="auto"/>
    </w:pPr>
    <w:rPr>
      <w:sz w:val="20"/>
      <w:szCs w:val="20"/>
    </w:rPr>
  </w:style>
  <w:style w:type="character" w:customStyle="1" w:styleId="ab">
    <w:name w:val="טקסט הערה תו"/>
    <w:basedOn w:val="a0"/>
    <w:link w:val="aa"/>
    <w:uiPriority w:val="99"/>
    <w:semiHidden/>
    <w:rsid w:val="00EB6349"/>
    <w:rPr>
      <w:sz w:val="20"/>
      <w:szCs w:val="20"/>
    </w:rPr>
  </w:style>
  <w:style w:type="paragraph" w:styleId="ac">
    <w:name w:val="annotation subject"/>
    <w:basedOn w:val="aa"/>
    <w:next w:val="aa"/>
    <w:link w:val="ad"/>
    <w:uiPriority w:val="99"/>
    <w:semiHidden/>
    <w:unhideWhenUsed/>
    <w:rsid w:val="00EB6349"/>
    <w:rPr>
      <w:b/>
      <w:bCs/>
    </w:rPr>
  </w:style>
  <w:style w:type="character" w:customStyle="1" w:styleId="ad">
    <w:name w:val="נושא הערה תו"/>
    <w:basedOn w:val="ab"/>
    <w:link w:val="ac"/>
    <w:uiPriority w:val="99"/>
    <w:semiHidden/>
    <w:rsid w:val="00EB6349"/>
    <w:rPr>
      <w:b/>
      <w:bCs/>
      <w:sz w:val="20"/>
      <w:szCs w:val="20"/>
    </w:rPr>
  </w:style>
  <w:style w:type="character" w:styleId="Hyperlink">
    <w:name w:val="Hyperlink"/>
    <w:basedOn w:val="a0"/>
    <w:uiPriority w:val="99"/>
    <w:unhideWhenUsed/>
    <w:rsid w:val="00D011ED"/>
    <w:rPr>
      <w:color w:val="0563C1" w:themeColor="hyperlink"/>
      <w:u w:val="single"/>
    </w:rPr>
  </w:style>
  <w:style w:type="character" w:styleId="ae">
    <w:name w:val="Unresolved Mention"/>
    <w:basedOn w:val="a0"/>
    <w:uiPriority w:val="99"/>
    <w:semiHidden/>
    <w:unhideWhenUsed/>
    <w:rsid w:val="00D011ED"/>
    <w:rPr>
      <w:color w:val="605E5C"/>
      <w:shd w:val="clear" w:color="auto" w:fill="E1DFDD"/>
    </w:rPr>
  </w:style>
  <w:style w:type="character" w:customStyle="1" w:styleId="a8">
    <w:name w:val="פיסקת רשימה תו"/>
    <w:aliases w:val="style 2 תו"/>
    <w:link w:val="a7"/>
    <w:uiPriority w:val="34"/>
    <w:locked/>
    <w:rsid w:val="00C222C2"/>
  </w:style>
  <w:style w:type="character" w:styleId="FollowedHyperlink">
    <w:name w:val="FollowedHyperlink"/>
    <w:basedOn w:val="a0"/>
    <w:uiPriority w:val="99"/>
    <w:semiHidden/>
    <w:unhideWhenUsed/>
    <w:rsid w:val="006C1C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kranotzeev@gc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914</Words>
  <Characters>4572</Characters>
  <Application>Microsoft Office Word</Application>
  <DocSecurity>4</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איתמר חרמון</dc:creator>
  <cp:keywords/>
  <dc:description/>
  <cp:lastModifiedBy>ענת בורשן</cp:lastModifiedBy>
  <cp:revision>2</cp:revision>
  <dcterms:created xsi:type="dcterms:W3CDTF">2026-03-16T07:19:00Z</dcterms:created>
  <dcterms:modified xsi:type="dcterms:W3CDTF">2026-03-16T07:19:00Z</dcterms:modified>
</cp:coreProperties>
</file>